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18"/>
        </w:tabs>
        <w:spacing w:before="307"/>
        <w:ind w:right="453"/>
        <w:jc w:val="center"/>
        <w:rPr>
          <w:rFonts w:hint="eastAsia"/>
          <w:color w:val="auto"/>
          <w:spacing w:val="-1"/>
          <w:sz w:val="28"/>
          <w:highlight w:val="none"/>
          <w:lang w:val="en-US"/>
        </w:rPr>
      </w:pPr>
      <w:r>
        <w:rPr>
          <w:rFonts w:hint="eastAsia"/>
          <w:color w:val="auto"/>
          <w:spacing w:val="-1"/>
          <w:sz w:val="28"/>
          <w:highlight w:val="none"/>
          <w:lang w:val="en-US"/>
        </w:rPr>
        <w:t>四川都金山地轨道交通有限责任公司</w:t>
      </w:r>
      <w:r>
        <w:rPr>
          <w:rFonts w:hint="eastAsia"/>
          <w:color w:val="auto"/>
          <w:spacing w:val="-1"/>
          <w:sz w:val="28"/>
          <w:highlight w:val="none"/>
          <w:lang w:val="en-US" w:eastAsia="zh-CN"/>
        </w:rPr>
        <w:t>综合管理服务</w:t>
      </w:r>
      <w:r>
        <w:rPr>
          <w:rFonts w:hint="eastAsia"/>
          <w:color w:val="auto"/>
          <w:spacing w:val="-1"/>
          <w:sz w:val="28"/>
          <w:highlight w:val="none"/>
          <w:lang w:val="en-US"/>
        </w:rPr>
        <w:t>项目</w:t>
      </w:r>
    </w:p>
    <w:p>
      <w:pPr>
        <w:tabs>
          <w:tab w:val="left" w:pos="1118"/>
        </w:tabs>
        <w:spacing w:before="307"/>
        <w:ind w:right="453"/>
        <w:jc w:val="center"/>
        <w:rPr>
          <w:color w:val="auto"/>
          <w:spacing w:val="-1"/>
          <w:sz w:val="28"/>
          <w:highlight w:val="none"/>
          <w:lang w:val="en-US"/>
        </w:rPr>
      </w:pPr>
      <w:r>
        <w:rPr>
          <w:color w:val="auto"/>
          <w:spacing w:val="-1"/>
          <w:sz w:val="28"/>
          <w:highlight w:val="none"/>
        </w:rPr>
        <w:t>招标公告</w:t>
      </w:r>
    </w:p>
    <w:p>
      <w:pPr>
        <w:pStyle w:val="6"/>
        <w:numPr>
          <w:ilvl w:val="0"/>
          <w:numId w:val="1"/>
        </w:numPr>
        <w:tabs>
          <w:tab w:val="left" w:pos="642"/>
        </w:tabs>
        <w:spacing w:before="92"/>
        <w:ind w:hanging="402"/>
        <w:rPr>
          <w:b/>
          <w:color w:val="auto"/>
          <w:sz w:val="21"/>
          <w:szCs w:val="21"/>
          <w:highlight w:val="none"/>
        </w:rPr>
      </w:pPr>
      <w:bookmarkStart w:id="0" w:name="_bookmark2"/>
      <w:bookmarkEnd w:id="0"/>
      <w:bookmarkStart w:id="1" w:name="_Toc2783_WPSOffice_Level2"/>
      <w:bookmarkStart w:id="15" w:name="_GoBack"/>
      <w:bookmarkEnd w:id="15"/>
      <w:r>
        <w:rPr>
          <w:rFonts w:hint="eastAsia"/>
          <w:b/>
          <w:color w:val="auto"/>
          <w:sz w:val="21"/>
          <w:szCs w:val="21"/>
          <w:highlight w:val="none"/>
        </w:rPr>
        <w:t>招标条件</w:t>
      </w:r>
      <w:bookmarkEnd w:id="1"/>
    </w:p>
    <w:p>
      <w:pPr>
        <w:pStyle w:val="3"/>
        <w:tabs>
          <w:tab w:val="left" w:pos="1483"/>
          <w:tab w:val="left" w:pos="2837"/>
          <w:tab w:val="left" w:pos="3404"/>
          <w:tab w:val="left" w:pos="5036"/>
          <w:tab w:val="left" w:pos="6145"/>
          <w:tab w:val="left" w:pos="7225"/>
          <w:tab w:val="left" w:pos="7638"/>
        </w:tabs>
        <w:spacing w:before="302" w:line="360" w:lineRule="auto"/>
        <w:ind w:left="238" w:right="692" w:firstLine="420"/>
        <w:jc w:val="both"/>
        <w:rPr>
          <w:color w:val="auto"/>
          <w:sz w:val="24"/>
          <w:szCs w:val="24"/>
          <w:highlight w:val="none"/>
        </w:rPr>
      </w:pPr>
      <w:bookmarkStart w:id="2" w:name="_bookmark3"/>
      <w:bookmarkEnd w:id="2"/>
      <w:bookmarkStart w:id="3" w:name="_Toc22612_WPSOffice_Level2"/>
      <w:r>
        <w:rPr>
          <w:rFonts w:hint="eastAsia"/>
          <w:color w:val="auto"/>
          <w:sz w:val="24"/>
          <w:szCs w:val="24"/>
          <w:highlight w:val="none"/>
        </w:rPr>
        <w:t>本招标项目</w:t>
      </w:r>
      <w:r>
        <w:rPr>
          <w:rFonts w:hint="eastAsia"/>
          <w:color w:val="auto"/>
          <w:sz w:val="24"/>
          <w:szCs w:val="24"/>
          <w:highlight w:val="none"/>
          <w:u w:val="single"/>
        </w:rPr>
        <w:t>四川都金山地轨道交通有限责任公司</w:t>
      </w:r>
      <w:r>
        <w:rPr>
          <w:rFonts w:hint="eastAsia"/>
          <w:color w:val="auto"/>
          <w:sz w:val="24"/>
          <w:szCs w:val="24"/>
          <w:highlight w:val="none"/>
          <w:u w:val="single"/>
          <w:lang w:val="en-US" w:eastAsia="zh-CN"/>
        </w:rPr>
        <w:t>综合管理服务</w:t>
      </w:r>
      <w:r>
        <w:rPr>
          <w:rFonts w:hint="eastAsia"/>
          <w:color w:val="auto"/>
          <w:sz w:val="24"/>
          <w:szCs w:val="24"/>
          <w:highlight w:val="none"/>
          <w:u w:val="single"/>
        </w:rPr>
        <w:t>项目</w:t>
      </w:r>
      <w:r>
        <w:rPr>
          <w:rFonts w:hint="eastAsia"/>
          <w:color w:val="auto"/>
          <w:sz w:val="24"/>
          <w:szCs w:val="24"/>
          <w:highlight w:val="none"/>
        </w:rPr>
        <w:t>（项目名称</w:t>
      </w:r>
      <w:r>
        <w:rPr>
          <w:rFonts w:hint="eastAsia"/>
          <w:color w:val="auto"/>
          <w:spacing w:val="-3"/>
          <w:sz w:val="24"/>
          <w:szCs w:val="24"/>
          <w:highlight w:val="none"/>
        </w:rPr>
        <w:t>）</w:t>
      </w:r>
      <w:r>
        <w:rPr>
          <w:rFonts w:hint="eastAsia"/>
          <w:color w:val="auto"/>
          <w:spacing w:val="-17"/>
          <w:sz w:val="24"/>
          <w:szCs w:val="24"/>
          <w:highlight w:val="none"/>
        </w:rPr>
        <w:t>，</w:t>
      </w:r>
      <w:r>
        <w:rPr>
          <w:rFonts w:hint="eastAsia"/>
          <w:color w:val="auto"/>
          <w:sz w:val="24"/>
          <w:szCs w:val="24"/>
          <w:highlight w:val="none"/>
        </w:rPr>
        <w:t>项</w:t>
      </w:r>
      <w:r>
        <w:rPr>
          <w:rFonts w:hint="eastAsia"/>
          <w:color w:val="auto"/>
          <w:spacing w:val="-3"/>
          <w:sz w:val="24"/>
          <w:szCs w:val="24"/>
          <w:highlight w:val="none"/>
        </w:rPr>
        <w:t>目</w:t>
      </w:r>
      <w:r>
        <w:rPr>
          <w:rFonts w:hint="eastAsia"/>
          <w:color w:val="auto"/>
          <w:sz w:val="24"/>
          <w:szCs w:val="24"/>
          <w:highlight w:val="none"/>
        </w:rPr>
        <w:t>业</w:t>
      </w:r>
      <w:r>
        <w:rPr>
          <w:rFonts w:hint="eastAsia"/>
          <w:color w:val="auto"/>
          <w:spacing w:val="-3"/>
          <w:sz w:val="24"/>
          <w:szCs w:val="24"/>
          <w:highlight w:val="none"/>
        </w:rPr>
        <w:t>主</w:t>
      </w:r>
      <w:r>
        <w:rPr>
          <w:rFonts w:hint="eastAsia"/>
          <w:color w:val="auto"/>
          <w:sz w:val="24"/>
          <w:szCs w:val="24"/>
          <w:highlight w:val="none"/>
        </w:rPr>
        <w:t>为</w:t>
      </w:r>
      <w:r>
        <w:rPr>
          <w:rFonts w:hint="eastAsia"/>
          <w:color w:val="auto"/>
          <w:sz w:val="24"/>
          <w:szCs w:val="24"/>
          <w:highlight w:val="none"/>
          <w:u w:val="single"/>
        </w:rPr>
        <w:t>四川都金山地轨道交通有限责任公司</w:t>
      </w:r>
      <w:r>
        <w:rPr>
          <w:rFonts w:hint="eastAsia"/>
          <w:color w:val="auto"/>
          <w:spacing w:val="-17"/>
          <w:sz w:val="24"/>
          <w:szCs w:val="24"/>
          <w:highlight w:val="none"/>
        </w:rPr>
        <w:t>，</w:t>
      </w:r>
      <w:r>
        <w:rPr>
          <w:rFonts w:hint="eastAsia"/>
          <w:color w:val="auto"/>
          <w:sz w:val="24"/>
          <w:szCs w:val="24"/>
          <w:highlight w:val="none"/>
        </w:rPr>
        <w:t>建</w:t>
      </w:r>
      <w:r>
        <w:rPr>
          <w:rFonts w:hint="eastAsia"/>
          <w:color w:val="auto"/>
          <w:spacing w:val="-3"/>
          <w:sz w:val="24"/>
          <w:szCs w:val="24"/>
          <w:highlight w:val="none"/>
        </w:rPr>
        <w:t>设</w:t>
      </w:r>
      <w:r>
        <w:rPr>
          <w:rFonts w:hint="eastAsia"/>
          <w:color w:val="auto"/>
          <w:sz w:val="24"/>
          <w:szCs w:val="24"/>
          <w:highlight w:val="none"/>
        </w:rPr>
        <w:t>资</w:t>
      </w:r>
      <w:r>
        <w:rPr>
          <w:rFonts w:hint="eastAsia"/>
          <w:color w:val="auto"/>
          <w:spacing w:val="-3"/>
          <w:sz w:val="24"/>
          <w:szCs w:val="24"/>
          <w:highlight w:val="none"/>
        </w:rPr>
        <w:t>金</w:t>
      </w:r>
      <w:r>
        <w:rPr>
          <w:rFonts w:hint="eastAsia"/>
          <w:color w:val="auto"/>
          <w:spacing w:val="-14"/>
          <w:sz w:val="24"/>
          <w:szCs w:val="24"/>
          <w:highlight w:val="none"/>
        </w:rPr>
        <w:t>来</w:t>
      </w:r>
      <w:r>
        <w:rPr>
          <w:rFonts w:hint="eastAsia"/>
          <w:color w:val="auto"/>
          <w:spacing w:val="-1"/>
          <w:sz w:val="24"/>
          <w:szCs w:val="24"/>
          <w:highlight w:val="none"/>
        </w:rPr>
        <w:t>自</w:t>
      </w:r>
      <w:r>
        <w:rPr>
          <w:rFonts w:hint="eastAsia"/>
          <w:color w:val="auto"/>
          <w:sz w:val="24"/>
          <w:szCs w:val="24"/>
          <w:highlight w:val="none"/>
          <w:u w:val="single"/>
        </w:rPr>
        <w:t xml:space="preserve"> </w:t>
      </w:r>
      <w:r>
        <w:rPr>
          <w:rFonts w:hint="eastAsia"/>
          <w:color w:val="auto"/>
          <w:sz w:val="24"/>
          <w:szCs w:val="24"/>
          <w:highlight w:val="none"/>
          <w:u w:val="single"/>
          <w:lang w:val="en-US"/>
        </w:rPr>
        <w:t>业主自筹</w:t>
      </w:r>
      <w:r>
        <w:rPr>
          <w:rFonts w:hint="eastAsia"/>
          <w:color w:val="auto"/>
          <w:spacing w:val="-3"/>
          <w:sz w:val="24"/>
          <w:szCs w:val="24"/>
          <w:highlight w:val="none"/>
        </w:rPr>
        <w:t>（</w:t>
      </w:r>
      <w:r>
        <w:rPr>
          <w:rFonts w:hint="eastAsia"/>
          <w:color w:val="auto"/>
          <w:sz w:val="24"/>
          <w:szCs w:val="24"/>
          <w:highlight w:val="none"/>
        </w:rPr>
        <w:t>资</w:t>
      </w:r>
      <w:r>
        <w:rPr>
          <w:rFonts w:hint="eastAsia"/>
          <w:color w:val="auto"/>
          <w:spacing w:val="-3"/>
          <w:sz w:val="24"/>
          <w:szCs w:val="24"/>
          <w:highlight w:val="none"/>
        </w:rPr>
        <w:t>金</w:t>
      </w:r>
      <w:r>
        <w:rPr>
          <w:rFonts w:hint="eastAsia"/>
          <w:color w:val="auto"/>
          <w:sz w:val="24"/>
          <w:szCs w:val="24"/>
          <w:highlight w:val="none"/>
        </w:rPr>
        <w:t>来源</w:t>
      </w:r>
      <w:r>
        <w:rPr>
          <w:rFonts w:hint="eastAsia"/>
          <w:color w:val="auto"/>
          <w:spacing w:val="-108"/>
          <w:sz w:val="24"/>
          <w:szCs w:val="24"/>
          <w:highlight w:val="none"/>
        </w:rPr>
        <w:t>）</w:t>
      </w:r>
      <w:r>
        <w:rPr>
          <w:rFonts w:hint="eastAsia"/>
          <w:color w:val="auto"/>
          <w:spacing w:val="-20"/>
          <w:sz w:val="24"/>
          <w:szCs w:val="24"/>
          <w:highlight w:val="none"/>
        </w:rPr>
        <w:t>，</w:t>
      </w:r>
      <w:r>
        <w:rPr>
          <w:rFonts w:hint="eastAsia"/>
          <w:color w:val="auto"/>
          <w:sz w:val="24"/>
          <w:szCs w:val="24"/>
          <w:highlight w:val="none"/>
        </w:rPr>
        <w:t>出</w:t>
      </w:r>
      <w:r>
        <w:rPr>
          <w:rFonts w:hint="eastAsia"/>
          <w:color w:val="auto"/>
          <w:spacing w:val="-3"/>
          <w:sz w:val="24"/>
          <w:szCs w:val="24"/>
          <w:highlight w:val="none"/>
        </w:rPr>
        <w:t>资</w:t>
      </w:r>
      <w:r>
        <w:rPr>
          <w:rFonts w:hint="eastAsia"/>
          <w:color w:val="auto"/>
          <w:sz w:val="24"/>
          <w:szCs w:val="24"/>
          <w:highlight w:val="none"/>
        </w:rPr>
        <w:t>比</w:t>
      </w:r>
      <w:r>
        <w:rPr>
          <w:rFonts w:hint="eastAsia"/>
          <w:color w:val="auto"/>
          <w:spacing w:val="-3"/>
          <w:sz w:val="24"/>
          <w:szCs w:val="24"/>
          <w:highlight w:val="none"/>
        </w:rPr>
        <w:t>例</w:t>
      </w:r>
      <w:r>
        <w:rPr>
          <w:rFonts w:hint="eastAsia"/>
          <w:color w:val="auto"/>
          <w:sz w:val="24"/>
          <w:szCs w:val="24"/>
          <w:highlight w:val="none"/>
        </w:rPr>
        <w:t>为</w:t>
      </w:r>
      <w:r>
        <w:rPr>
          <w:rFonts w:hint="eastAsia"/>
          <w:color w:val="auto"/>
          <w:sz w:val="24"/>
          <w:szCs w:val="24"/>
          <w:highlight w:val="none"/>
          <w:u w:val="single"/>
          <w:lang w:val="en-US"/>
        </w:rPr>
        <w:t>100%</w:t>
      </w:r>
      <w:r>
        <w:rPr>
          <w:rFonts w:hint="eastAsia"/>
          <w:color w:val="auto"/>
          <w:spacing w:val="-20"/>
          <w:sz w:val="24"/>
          <w:szCs w:val="24"/>
          <w:highlight w:val="none"/>
        </w:rPr>
        <w:t>，</w:t>
      </w:r>
      <w:r>
        <w:rPr>
          <w:rFonts w:hint="eastAsia"/>
          <w:color w:val="auto"/>
          <w:sz w:val="24"/>
          <w:szCs w:val="24"/>
          <w:highlight w:val="none"/>
        </w:rPr>
        <w:t>招</w:t>
      </w:r>
      <w:r>
        <w:rPr>
          <w:rFonts w:hint="eastAsia"/>
          <w:color w:val="auto"/>
          <w:spacing w:val="-3"/>
          <w:sz w:val="24"/>
          <w:szCs w:val="24"/>
          <w:highlight w:val="none"/>
        </w:rPr>
        <w:t>标</w:t>
      </w:r>
      <w:r>
        <w:rPr>
          <w:rFonts w:hint="eastAsia"/>
          <w:color w:val="auto"/>
          <w:sz w:val="24"/>
          <w:szCs w:val="24"/>
          <w:highlight w:val="none"/>
        </w:rPr>
        <w:t>人</w:t>
      </w:r>
      <w:r>
        <w:rPr>
          <w:rFonts w:hint="eastAsia"/>
          <w:color w:val="auto"/>
          <w:spacing w:val="-3"/>
          <w:sz w:val="24"/>
          <w:szCs w:val="24"/>
          <w:highlight w:val="none"/>
        </w:rPr>
        <w:t>为</w:t>
      </w:r>
      <w:r>
        <w:rPr>
          <w:rFonts w:hint="eastAsia"/>
          <w:color w:val="auto"/>
          <w:sz w:val="24"/>
          <w:szCs w:val="24"/>
          <w:highlight w:val="none"/>
          <w:u w:val="single"/>
        </w:rPr>
        <w:t>四川都金山地轨道交通有限责任公司</w:t>
      </w:r>
      <w:r>
        <w:rPr>
          <w:rFonts w:hint="eastAsia"/>
          <w:color w:val="auto"/>
          <w:sz w:val="24"/>
          <w:szCs w:val="24"/>
          <w:highlight w:val="none"/>
        </w:rPr>
        <w:t>，招标代理机构为</w:t>
      </w:r>
      <w:r>
        <w:rPr>
          <w:rFonts w:hint="eastAsia"/>
          <w:color w:val="auto"/>
          <w:sz w:val="24"/>
          <w:szCs w:val="24"/>
          <w:highlight w:val="none"/>
          <w:u w:val="single"/>
          <w:lang w:val="en-US"/>
        </w:rPr>
        <w:t>中通建设工程管理有限公司</w:t>
      </w:r>
      <w:r>
        <w:rPr>
          <w:rFonts w:hint="eastAsia"/>
          <w:color w:val="auto"/>
          <w:sz w:val="24"/>
          <w:szCs w:val="24"/>
          <w:highlight w:val="none"/>
        </w:rPr>
        <w:t>。项目</w:t>
      </w:r>
      <w:r>
        <w:rPr>
          <w:rFonts w:hint="eastAsia"/>
          <w:color w:val="auto"/>
          <w:spacing w:val="-3"/>
          <w:sz w:val="24"/>
          <w:szCs w:val="24"/>
          <w:highlight w:val="none"/>
        </w:rPr>
        <w:t>已</w:t>
      </w:r>
      <w:r>
        <w:rPr>
          <w:rFonts w:hint="eastAsia"/>
          <w:color w:val="auto"/>
          <w:sz w:val="24"/>
          <w:szCs w:val="24"/>
          <w:highlight w:val="none"/>
        </w:rPr>
        <w:t>具</w:t>
      </w:r>
      <w:r>
        <w:rPr>
          <w:rFonts w:hint="eastAsia"/>
          <w:color w:val="auto"/>
          <w:spacing w:val="-3"/>
          <w:sz w:val="24"/>
          <w:szCs w:val="24"/>
          <w:highlight w:val="none"/>
        </w:rPr>
        <w:t>备招</w:t>
      </w:r>
      <w:r>
        <w:rPr>
          <w:rFonts w:hint="eastAsia"/>
          <w:color w:val="auto"/>
          <w:spacing w:val="-15"/>
          <w:sz w:val="24"/>
          <w:szCs w:val="24"/>
          <w:highlight w:val="none"/>
        </w:rPr>
        <w:t>标</w:t>
      </w:r>
      <w:r>
        <w:rPr>
          <w:rFonts w:hint="eastAsia"/>
          <w:color w:val="auto"/>
          <w:sz w:val="24"/>
          <w:szCs w:val="24"/>
          <w:highlight w:val="none"/>
        </w:rPr>
        <w:t>条件</w:t>
      </w:r>
      <w:r>
        <w:rPr>
          <w:rFonts w:hint="eastAsia"/>
          <w:color w:val="auto"/>
          <w:spacing w:val="-3"/>
          <w:sz w:val="24"/>
          <w:szCs w:val="24"/>
          <w:highlight w:val="none"/>
        </w:rPr>
        <w:t>，</w:t>
      </w:r>
      <w:r>
        <w:rPr>
          <w:rFonts w:hint="eastAsia"/>
          <w:color w:val="auto"/>
          <w:sz w:val="24"/>
          <w:szCs w:val="24"/>
          <w:highlight w:val="none"/>
        </w:rPr>
        <w:t>现</w:t>
      </w:r>
      <w:r>
        <w:rPr>
          <w:rFonts w:hint="eastAsia"/>
          <w:color w:val="auto"/>
          <w:spacing w:val="-3"/>
          <w:sz w:val="24"/>
          <w:szCs w:val="24"/>
          <w:highlight w:val="none"/>
        </w:rPr>
        <w:t>对</w:t>
      </w:r>
      <w:r>
        <w:rPr>
          <w:rFonts w:hint="eastAsia"/>
          <w:color w:val="auto"/>
          <w:sz w:val="24"/>
          <w:szCs w:val="24"/>
          <w:highlight w:val="none"/>
        </w:rPr>
        <w:t>该</w:t>
      </w:r>
      <w:r>
        <w:rPr>
          <w:rFonts w:hint="eastAsia"/>
          <w:color w:val="auto"/>
          <w:spacing w:val="-3"/>
          <w:sz w:val="24"/>
          <w:szCs w:val="24"/>
          <w:highlight w:val="none"/>
        </w:rPr>
        <w:t>项</w:t>
      </w:r>
      <w:r>
        <w:rPr>
          <w:rFonts w:hint="eastAsia"/>
          <w:color w:val="auto"/>
          <w:sz w:val="24"/>
          <w:szCs w:val="24"/>
          <w:highlight w:val="none"/>
        </w:rPr>
        <w:t>目进行</w:t>
      </w:r>
      <w:r>
        <w:rPr>
          <w:rFonts w:hint="eastAsia"/>
          <w:color w:val="auto"/>
          <w:spacing w:val="-3"/>
          <w:sz w:val="24"/>
          <w:szCs w:val="24"/>
          <w:highlight w:val="none"/>
        </w:rPr>
        <w:t>公</w:t>
      </w:r>
      <w:r>
        <w:rPr>
          <w:rFonts w:hint="eastAsia"/>
          <w:color w:val="auto"/>
          <w:sz w:val="24"/>
          <w:szCs w:val="24"/>
          <w:highlight w:val="none"/>
        </w:rPr>
        <w:t>开</w:t>
      </w:r>
      <w:r>
        <w:rPr>
          <w:rFonts w:hint="eastAsia"/>
          <w:color w:val="auto"/>
          <w:spacing w:val="-3"/>
          <w:sz w:val="24"/>
          <w:szCs w:val="24"/>
          <w:highlight w:val="none"/>
        </w:rPr>
        <w:t>招</w:t>
      </w:r>
      <w:r>
        <w:rPr>
          <w:rFonts w:hint="eastAsia"/>
          <w:color w:val="auto"/>
          <w:sz w:val="24"/>
          <w:szCs w:val="24"/>
          <w:highlight w:val="none"/>
        </w:rPr>
        <w:t>标。</w:t>
      </w:r>
    </w:p>
    <w:p>
      <w:pPr>
        <w:pStyle w:val="6"/>
        <w:numPr>
          <w:ilvl w:val="0"/>
          <w:numId w:val="1"/>
        </w:numPr>
        <w:tabs>
          <w:tab w:val="left" w:pos="642"/>
        </w:tabs>
        <w:spacing w:before="41"/>
        <w:ind w:hanging="402"/>
        <w:rPr>
          <w:b/>
          <w:color w:val="auto"/>
          <w:sz w:val="24"/>
          <w:szCs w:val="24"/>
          <w:highlight w:val="none"/>
        </w:rPr>
      </w:pPr>
      <w:r>
        <w:rPr>
          <w:rFonts w:hint="eastAsia"/>
          <w:b/>
          <w:color w:val="auto"/>
          <w:sz w:val="24"/>
          <w:szCs w:val="24"/>
          <w:highlight w:val="none"/>
        </w:rPr>
        <w:t>项目概况与招标范围</w:t>
      </w:r>
      <w:bookmarkEnd w:id="3"/>
    </w:p>
    <w:p>
      <w:pPr>
        <w:pStyle w:val="3"/>
        <w:tabs>
          <w:tab w:val="left" w:pos="3706"/>
        </w:tabs>
        <w:spacing w:before="301" w:line="360" w:lineRule="auto"/>
        <w:ind w:left="240" w:right="588" w:firstLine="419"/>
        <w:rPr>
          <w:color w:val="auto"/>
          <w:sz w:val="24"/>
          <w:szCs w:val="24"/>
          <w:highlight w:val="none"/>
          <w:lang w:val="en-US"/>
        </w:rPr>
      </w:pPr>
      <w:r>
        <w:rPr>
          <w:rFonts w:hint="eastAsia"/>
          <w:color w:val="auto"/>
          <w:sz w:val="24"/>
          <w:szCs w:val="24"/>
          <w:highlight w:val="none"/>
          <w:lang w:val="en-US"/>
        </w:rPr>
        <w:t>2.1 项目地点：项目位于都江堰市观景路</w:t>
      </w:r>
      <w:r>
        <w:rPr>
          <w:color w:val="auto"/>
          <w:sz w:val="24"/>
          <w:szCs w:val="24"/>
          <w:highlight w:val="none"/>
          <w:lang w:val="en-US"/>
        </w:rPr>
        <w:t>833号</w:t>
      </w:r>
      <w:r>
        <w:rPr>
          <w:rFonts w:hint="eastAsia"/>
          <w:color w:val="auto"/>
          <w:sz w:val="24"/>
          <w:szCs w:val="24"/>
          <w:highlight w:val="none"/>
          <w:lang w:val="en-US"/>
        </w:rPr>
        <w:t>。</w:t>
      </w:r>
    </w:p>
    <w:p>
      <w:pPr>
        <w:pStyle w:val="3"/>
        <w:tabs>
          <w:tab w:val="left" w:pos="3706"/>
        </w:tabs>
        <w:spacing w:before="0" w:line="360" w:lineRule="auto"/>
        <w:ind w:left="238" w:right="590" w:firstLine="420"/>
        <w:rPr>
          <w:color w:val="auto"/>
          <w:sz w:val="24"/>
          <w:szCs w:val="24"/>
          <w:highlight w:val="none"/>
          <w:lang w:val="en-US"/>
        </w:rPr>
      </w:pPr>
      <w:r>
        <w:rPr>
          <w:rFonts w:hint="eastAsia"/>
          <w:color w:val="auto"/>
          <w:sz w:val="24"/>
          <w:szCs w:val="24"/>
          <w:highlight w:val="none"/>
          <w:lang w:val="en-US"/>
        </w:rPr>
        <w:t>2.2 项目规模：</w:t>
      </w:r>
      <w:r>
        <w:rPr>
          <w:color w:val="auto"/>
          <w:sz w:val="24"/>
          <w:szCs w:val="24"/>
          <w:highlight w:val="none"/>
          <w:lang w:val="en-US"/>
        </w:rPr>
        <w:t>总建筑面积为6000㎡，其中地上共6层，地下1层，有地下停车位24个，按功能1-4层为办公区、厨房、食堂就餐区，5-6层员工宿舍休息区</w:t>
      </w:r>
      <w:r>
        <w:rPr>
          <w:rFonts w:hint="eastAsia"/>
          <w:color w:val="auto"/>
          <w:sz w:val="24"/>
          <w:szCs w:val="24"/>
          <w:highlight w:val="none"/>
          <w:lang w:val="en-US"/>
        </w:rPr>
        <w:t>，7辆车辆。</w:t>
      </w:r>
    </w:p>
    <w:p>
      <w:pPr>
        <w:spacing w:line="360" w:lineRule="auto"/>
        <w:ind w:left="220" w:leftChars="100" w:right="440" w:rightChars="200" w:firstLine="480" w:firstLineChars="200"/>
        <w:rPr>
          <w:color w:val="auto"/>
          <w:sz w:val="24"/>
          <w:szCs w:val="24"/>
          <w:highlight w:val="none"/>
          <w:lang w:val="en-US"/>
        </w:rPr>
      </w:pPr>
      <w:r>
        <w:rPr>
          <w:rFonts w:hint="eastAsia"/>
          <w:color w:val="auto"/>
          <w:sz w:val="24"/>
          <w:szCs w:val="24"/>
          <w:highlight w:val="none"/>
          <w:lang w:val="en-US"/>
        </w:rPr>
        <w:t>2.3 招标范围：四川都金山地轨道交通有限责任公司</w:t>
      </w:r>
      <w:r>
        <w:rPr>
          <w:rFonts w:hint="eastAsia"/>
          <w:color w:val="auto"/>
          <w:sz w:val="24"/>
          <w:szCs w:val="24"/>
          <w:highlight w:val="none"/>
          <w:lang w:val="en-US" w:eastAsia="zh-CN"/>
        </w:rPr>
        <w:t>综合管理服务</w:t>
      </w:r>
      <w:r>
        <w:rPr>
          <w:rFonts w:hint="eastAsia"/>
          <w:color w:val="auto"/>
          <w:sz w:val="24"/>
          <w:szCs w:val="24"/>
          <w:highlight w:val="none"/>
          <w:lang w:val="en-US"/>
        </w:rPr>
        <w:t>，包括：后勤管理、前台客服接待及会务服务、食堂服务、小车班驾驶服务</w:t>
      </w:r>
      <w:r>
        <w:rPr>
          <w:rFonts w:hint="eastAsia" w:cs="仿宋_GB2312"/>
          <w:color w:val="auto"/>
          <w:sz w:val="24"/>
          <w:highlight w:val="none"/>
          <w:lang w:val="en-US"/>
        </w:rPr>
        <w:t>。具体工作内容详见合同条款。</w:t>
      </w:r>
    </w:p>
    <w:p>
      <w:pPr>
        <w:spacing w:line="360" w:lineRule="auto"/>
        <w:ind w:left="220" w:leftChars="100" w:right="440" w:rightChars="200" w:firstLine="480" w:firstLineChars="200"/>
        <w:rPr>
          <w:color w:val="auto"/>
          <w:sz w:val="24"/>
          <w:szCs w:val="24"/>
          <w:highlight w:val="none"/>
        </w:rPr>
      </w:pPr>
      <w:r>
        <w:rPr>
          <w:rFonts w:hint="eastAsia"/>
          <w:color w:val="auto"/>
          <w:sz w:val="24"/>
          <w:szCs w:val="24"/>
          <w:highlight w:val="none"/>
          <w:lang w:val="en-US"/>
        </w:rPr>
        <w:t>2.4 服务期限：本次</w:t>
      </w:r>
      <w:r>
        <w:rPr>
          <w:rFonts w:hint="eastAsia"/>
          <w:color w:val="auto"/>
          <w:sz w:val="24"/>
          <w:szCs w:val="24"/>
          <w:highlight w:val="none"/>
          <w:lang w:val="en-US" w:eastAsia="zh-CN"/>
        </w:rPr>
        <w:t>综合</w:t>
      </w:r>
      <w:r>
        <w:rPr>
          <w:rFonts w:hint="eastAsia"/>
          <w:color w:val="auto"/>
          <w:sz w:val="24"/>
          <w:szCs w:val="24"/>
          <w:highlight w:val="none"/>
          <w:lang w:val="en-US"/>
        </w:rPr>
        <w:t>管理服务的合同有效期为合同签订之日起一年</w:t>
      </w:r>
      <w:r>
        <w:rPr>
          <w:color w:val="auto"/>
          <w:sz w:val="24"/>
          <w:szCs w:val="24"/>
          <w:highlight w:val="none"/>
          <w:lang w:val="en-US"/>
        </w:rPr>
        <w:t>。如遇上级政策调整，合同可随时终止</w:t>
      </w:r>
      <w:r>
        <w:rPr>
          <w:rFonts w:hint="eastAsia"/>
          <w:color w:val="auto"/>
          <w:sz w:val="24"/>
          <w:szCs w:val="24"/>
          <w:highlight w:val="none"/>
          <w:lang w:val="en-US"/>
        </w:rPr>
        <w:t>。</w:t>
      </w:r>
    </w:p>
    <w:p>
      <w:pPr>
        <w:spacing w:line="360" w:lineRule="auto"/>
        <w:ind w:left="220" w:leftChars="100" w:right="440" w:rightChars="200" w:firstLine="480" w:firstLineChars="200"/>
        <w:rPr>
          <w:color w:val="auto"/>
          <w:sz w:val="24"/>
          <w:szCs w:val="24"/>
          <w:highlight w:val="none"/>
          <w:lang w:val="en-US"/>
        </w:rPr>
      </w:pPr>
      <w:r>
        <w:rPr>
          <w:rFonts w:hint="eastAsia"/>
          <w:color w:val="auto"/>
          <w:sz w:val="24"/>
          <w:szCs w:val="24"/>
          <w:highlight w:val="none"/>
          <w:lang w:val="en-US"/>
        </w:rPr>
        <w:t>2.5</w:t>
      </w:r>
      <w:r>
        <w:rPr>
          <w:color w:val="auto"/>
          <w:sz w:val="24"/>
          <w:szCs w:val="24"/>
          <w:highlight w:val="none"/>
          <w:lang w:val="en-US"/>
        </w:rPr>
        <w:t xml:space="preserve"> </w:t>
      </w:r>
      <w:r>
        <w:rPr>
          <w:rFonts w:hint="eastAsia"/>
          <w:color w:val="auto"/>
          <w:sz w:val="24"/>
          <w:szCs w:val="24"/>
          <w:highlight w:val="none"/>
          <w:lang w:val="en-US"/>
        </w:rPr>
        <w:t>标段划分：1个标段。</w:t>
      </w:r>
    </w:p>
    <w:p>
      <w:pPr>
        <w:pStyle w:val="6"/>
        <w:numPr>
          <w:ilvl w:val="0"/>
          <w:numId w:val="1"/>
        </w:numPr>
        <w:tabs>
          <w:tab w:val="left" w:pos="642"/>
        </w:tabs>
        <w:spacing w:before="44"/>
        <w:ind w:hanging="402"/>
        <w:rPr>
          <w:b/>
          <w:color w:val="auto"/>
          <w:sz w:val="24"/>
          <w:szCs w:val="24"/>
          <w:highlight w:val="none"/>
        </w:rPr>
      </w:pPr>
      <w:bookmarkStart w:id="4" w:name="_bookmark4"/>
      <w:bookmarkEnd w:id="4"/>
      <w:bookmarkStart w:id="5" w:name="_Toc32754_WPSOffice_Level2"/>
      <w:r>
        <w:rPr>
          <w:rFonts w:hint="eastAsia"/>
          <w:b/>
          <w:color w:val="auto"/>
          <w:sz w:val="24"/>
          <w:szCs w:val="24"/>
          <w:highlight w:val="none"/>
        </w:rPr>
        <w:t>投标人资格要求</w:t>
      </w:r>
      <w:bookmarkEnd w:id="5"/>
    </w:p>
    <w:p>
      <w:pPr>
        <w:pStyle w:val="3"/>
        <w:tabs>
          <w:tab w:val="left" w:pos="3706"/>
        </w:tabs>
        <w:spacing w:before="301" w:line="360" w:lineRule="auto"/>
        <w:ind w:left="240" w:right="588" w:firstLine="720" w:firstLineChars="300"/>
        <w:rPr>
          <w:color w:val="auto"/>
          <w:sz w:val="24"/>
          <w:szCs w:val="24"/>
          <w:highlight w:val="none"/>
          <w:lang w:val="en-US"/>
        </w:rPr>
      </w:pPr>
      <w:r>
        <w:rPr>
          <w:rFonts w:hint="eastAsia"/>
          <w:color w:val="auto"/>
          <w:sz w:val="24"/>
          <w:szCs w:val="24"/>
          <w:highlight w:val="none"/>
          <w:lang w:val="en-US"/>
        </w:rPr>
        <w:t>3.1</w:t>
      </w:r>
      <w:r>
        <w:rPr>
          <w:color w:val="auto"/>
          <w:sz w:val="24"/>
          <w:szCs w:val="24"/>
          <w:highlight w:val="none"/>
          <w:lang w:val="en-US"/>
        </w:rPr>
        <w:t xml:space="preserve"> </w:t>
      </w:r>
      <w:r>
        <w:rPr>
          <w:rFonts w:hint="eastAsia"/>
          <w:color w:val="auto"/>
          <w:sz w:val="24"/>
          <w:szCs w:val="24"/>
          <w:highlight w:val="none"/>
          <w:lang w:val="en-US"/>
        </w:rPr>
        <w:t>具有独立法人资格，提供有效的营业执照。</w:t>
      </w:r>
    </w:p>
    <w:p>
      <w:pPr>
        <w:pStyle w:val="3"/>
        <w:tabs>
          <w:tab w:val="left" w:pos="3706"/>
        </w:tabs>
        <w:spacing w:before="0" w:line="360" w:lineRule="auto"/>
        <w:ind w:left="238" w:right="440" w:rightChars="200" w:firstLine="720" w:firstLineChars="300"/>
        <w:rPr>
          <w:rFonts w:hint="eastAsia" w:eastAsia="宋体"/>
          <w:b w:val="0"/>
          <w:bCs w:val="0"/>
          <w:color w:val="auto"/>
          <w:sz w:val="24"/>
          <w:szCs w:val="24"/>
          <w:highlight w:val="none"/>
          <w:lang w:val="en-US" w:eastAsia="zh-CN"/>
        </w:rPr>
      </w:pPr>
      <w:r>
        <w:rPr>
          <w:rFonts w:hint="eastAsia"/>
          <w:color w:val="auto"/>
          <w:sz w:val="24"/>
          <w:szCs w:val="24"/>
          <w:highlight w:val="none"/>
          <w:lang w:val="en-US"/>
        </w:rPr>
        <w:t xml:space="preserve">3.2 </w:t>
      </w:r>
      <w:r>
        <w:rPr>
          <w:rFonts w:hint="eastAsia"/>
          <w:color w:val="auto"/>
          <w:sz w:val="24"/>
          <w:szCs w:val="24"/>
          <w:highlight w:val="none"/>
          <w:lang w:val="en-US" w:eastAsia="zh-CN"/>
        </w:rPr>
        <w:t>业绩要求;</w:t>
      </w:r>
      <w:r>
        <w:rPr>
          <w:rFonts w:hint="eastAsia"/>
          <w:color w:val="auto"/>
          <w:sz w:val="24"/>
          <w:szCs w:val="24"/>
          <w:highlight w:val="none"/>
          <w:lang w:val="en-US"/>
        </w:rPr>
        <w:t>近三年（20</w:t>
      </w:r>
      <w:r>
        <w:rPr>
          <w:rFonts w:hint="eastAsia"/>
          <w:color w:val="auto"/>
          <w:sz w:val="24"/>
          <w:szCs w:val="24"/>
          <w:highlight w:val="none"/>
          <w:lang w:val="en-US" w:eastAsia="zh-CN"/>
        </w:rPr>
        <w:t>20</w:t>
      </w:r>
      <w:r>
        <w:rPr>
          <w:rFonts w:hint="eastAsia"/>
          <w:color w:val="auto"/>
          <w:sz w:val="24"/>
          <w:szCs w:val="24"/>
          <w:highlight w:val="none"/>
          <w:lang w:val="en-US"/>
        </w:rPr>
        <w:t>年1月1日至今），至少承担过</w:t>
      </w:r>
      <w:r>
        <w:rPr>
          <w:rFonts w:hint="eastAsia"/>
          <w:color w:val="auto"/>
          <w:sz w:val="24"/>
          <w:szCs w:val="24"/>
          <w:highlight w:val="none"/>
          <w:lang w:val="en-US" w:eastAsia="zh-CN"/>
        </w:rPr>
        <w:t>1</w:t>
      </w:r>
      <w:r>
        <w:rPr>
          <w:rFonts w:hint="eastAsia"/>
          <w:color w:val="auto"/>
          <w:sz w:val="24"/>
          <w:szCs w:val="24"/>
          <w:highlight w:val="none"/>
          <w:lang w:val="en-US"/>
        </w:rPr>
        <w:t>个</w:t>
      </w:r>
      <w:r>
        <w:rPr>
          <w:rFonts w:hint="eastAsia"/>
          <w:color w:val="auto"/>
          <w:sz w:val="24"/>
          <w:szCs w:val="24"/>
          <w:highlight w:val="none"/>
          <w:lang w:val="en-US" w:eastAsia="zh-CN"/>
        </w:rPr>
        <w:t>类似</w:t>
      </w:r>
      <w:r>
        <w:rPr>
          <w:rFonts w:hint="eastAsia"/>
          <w:color w:val="auto"/>
          <w:sz w:val="24"/>
          <w:szCs w:val="24"/>
          <w:highlight w:val="none"/>
          <w:lang w:val="en-US"/>
        </w:rPr>
        <w:t>业绩（</w:t>
      </w:r>
      <w:r>
        <w:rPr>
          <w:rFonts w:hint="eastAsia"/>
          <w:color w:val="auto"/>
          <w:sz w:val="24"/>
          <w:szCs w:val="24"/>
          <w:highlight w:val="none"/>
          <w:lang w:val="en-US" w:eastAsia="zh-CN"/>
        </w:rPr>
        <w:t>类似</w:t>
      </w:r>
      <w:r>
        <w:rPr>
          <w:rFonts w:hint="eastAsia"/>
          <w:color w:val="auto"/>
          <w:sz w:val="24"/>
          <w:szCs w:val="24"/>
          <w:highlight w:val="none"/>
          <w:lang w:val="en-US"/>
        </w:rPr>
        <w:t>业绩</w:t>
      </w:r>
      <w:r>
        <w:rPr>
          <w:rFonts w:hint="eastAsia"/>
          <w:color w:val="auto"/>
          <w:sz w:val="24"/>
          <w:szCs w:val="24"/>
          <w:highlight w:val="none"/>
          <w:lang w:val="en-US" w:eastAsia="zh-CN"/>
        </w:rPr>
        <w:t>是指综合管理类或物业服务类或劳务外包类业绩，须提供合同协议书复印件并加盖鲜章</w:t>
      </w:r>
      <w:r>
        <w:rPr>
          <w:rFonts w:hint="eastAsia"/>
          <w:color w:val="auto"/>
          <w:sz w:val="24"/>
          <w:szCs w:val="24"/>
          <w:highlight w:val="none"/>
          <w:lang w:val="en-US"/>
        </w:rPr>
        <w:t>）</w:t>
      </w:r>
      <w:r>
        <w:rPr>
          <w:rFonts w:hint="eastAsia"/>
          <w:color w:val="auto"/>
          <w:sz w:val="24"/>
          <w:szCs w:val="24"/>
          <w:highlight w:val="none"/>
          <w:lang w:val="en-US" w:eastAsia="zh-CN"/>
        </w:rPr>
        <w:t>。</w:t>
      </w:r>
    </w:p>
    <w:p>
      <w:pPr>
        <w:pStyle w:val="3"/>
        <w:tabs>
          <w:tab w:val="left" w:pos="3706"/>
        </w:tabs>
        <w:spacing w:before="0" w:line="360" w:lineRule="auto"/>
        <w:ind w:left="238" w:leftChars="0" w:right="440" w:rightChars="200" w:firstLine="480" w:firstLineChars="200"/>
        <w:rPr>
          <w:color w:val="auto"/>
          <w:sz w:val="24"/>
          <w:szCs w:val="24"/>
          <w:highlight w:val="none"/>
          <w:lang w:val="en-US"/>
        </w:rPr>
      </w:pPr>
      <w:r>
        <w:rPr>
          <w:rFonts w:hint="eastAsia"/>
          <w:color w:val="auto"/>
          <w:sz w:val="24"/>
          <w:szCs w:val="24"/>
          <w:highlight w:val="none"/>
          <w:lang w:val="en-US" w:eastAsia="zh-CN"/>
        </w:rPr>
        <w:t xml:space="preserve">3.3 </w:t>
      </w:r>
      <w:r>
        <w:rPr>
          <w:rFonts w:hint="eastAsia"/>
          <w:color w:val="auto"/>
          <w:sz w:val="24"/>
          <w:szCs w:val="24"/>
          <w:highlight w:val="none"/>
          <w:lang w:val="en-US"/>
        </w:rPr>
        <w:t>信誉要求：投标人</w:t>
      </w:r>
      <w:r>
        <w:rPr>
          <w:rFonts w:hint="eastAsia"/>
          <w:color w:val="auto"/>
          <w:sz w:val="24"/>
          <w:szCs w:val="24"/>
          <w:highlight w:val="none"/>
          <w:lang w:val="en-US" w:eastAsia="zh-CN"/>
        </w:rPr>
        <w:t>及其</w:t>
      </w:r>
      <w:r>
        <w:rPr>
          <w:rFonts w:hint="eastAsia"/>
          <w:color w:val="auto"/>
          <w:sz w:val="24"/>
          <w:szCs w:val="24"/>
          <w:highlight w:val="none"/>
          <w:lang w:val="en-US"/>
        </w:rPr>
        <w:t>法定代表人近三年无行贿犯罪档案记录（提供书面承诺）</w:t>
      </w:r>
      <w:r>
        <w:rPr>
          <w:rFonts w:hint="eastAsia"/>
          <w:color w:val="auto"/>
          <w:sz w:val="24"/>
          <w:szCs w:val="24"/>
          <w:highlight w:val="none"/>
          <w:lang w:val="en-US" w:eastAsia="zh-CN"/>
        </w:rPr>
        <w:t>，且</w:t>
      </w:r>
      <w:r>
        <w:rPr>
          <w:rFonts w:hint="eastAsia"/>
          <w:color w:val="auto"/>
          <w:sz w:val="24"/>
          <w:szCs w:val="24"/>
          <w:highlight w:val="none"/>
          <w:lang w:val="en-US"/>
        </w:rPr>
        <w:t>在“</w:t>
      </w:r>
      <w:r>
        <w:rPr>
          <w:rFonts w:hint="eastAsia"/>
          <w:color w:val="auto"/>
          <w:sz w:val="24"/>
          <w:szCs w:val="24"/>
          <w:highlight w:val="none"/>
          <w:lang w:val="en-US" w:eastAsia="zh-CN"/>
        </w:rPr>
        <w:t>中国执行信息公开网</w:t>
      </w:r>
      <w:r>
        <w:rPr>
          <w:rFonts w:hint="eastAsia"/>
          <w:color w:val="auto"/>
          <w:sz w:val="24"/>
          <w:szCs w:val="24"/>
          <w:highlight w:val="none"/>
          <w:lang w:val="en-US"/>
        </w:rPr>
        <w:t>”网站（http://zxgk.court.gov.cn/shixin/）中未被列入失信被执行人名单（查询结果截图证明）。</w:t>
      </w:r>
    </w:p>
    <w:p>
      <w:pPr>
        <w:pStyle w:val="3"/>
        <w:tabs>
          <w:tab w:val="left" w:pos="3706"/>
        </w:tabs>
        <w:spacing w:before="0" w:line="360" w:lineRule="auto"/>
        <w:ind w:left="220" w:leftChars="100" w:right="440" w:rightChars="200" w:firstLine="480" w:firstLineChars="200"/>
        <w:rPr>
          <w:rFonts w:hint="eastAsia"/>
          <w:color w:val="auto"/>
          <w:sz w:val="24"/>
          <w:szCs w:val="24"/>
          <w:highlight w:val="none"/>
          <w:u w:val="none"/>
          <w:lang w:val="en-US"/>
        </w:rPr>
      </w:pPr>
      <w:r>
        <w:rPr>
          <w:rFonts w:hint="eastAsia"/>
          <w:color w:val="auto"/>
          <w:sz w:val="24"/>
          <w:szCs w:val="24"/>
          <w:highlight w:val="none"/>
          <w:lang w:val="en-US"/>
        </w:rPr>
        <w:t>3.</w:t>
      </w:r>
      <w:r>
        <w:rPr>
          <w:rFonts w:hint="eastAsia"/>
          <w:color w:val="auto"/>
          <w:sz w:val="24"/>
          <w:szCs w:val="24"/>
          <w:highlight w:val="none"/>
          <w:lang w:val="en-US" w:eastAsia="zh-CN"/>
        </w:rPr>
        <w:t>4</w:t>
      </w:r>
      <w:r>
        <w:rPr>
          <w:rFonts w:hint="eastAsia"/>
          <w:color w:val="auto"/>
          <w:sz w:val="24"/>
          <w:szCs w:val="24"/>
          <w:highlight w:val="none"/>
          <w:lang w:val="en-US"/>
        </w:rPr>
        <w:t xml:space="preserve"> 本次招标不接受联合体投标。</w:t>
      </w:r>
    </w:p>
    <w:p>
      <w:pPr>
        <w:pStyle w:val="6"/>
        <w:numPr>
          <w:ilvl w:val="0"/>
          <w:numId w:val="1"/>
        </w:numPr>
        <w:tabs>
          <w:tab w:val="left" w:pos="642"/>
        </w:tabs>
        <w:spacing w:before="175" w:line="360" w:lineRule="auto"/>
        <w:ind w:hanging="402"/>
        <w:rPr>
          <w:b/>
          <w:color w:val="auto"/>
          <w:sz w:val="24"/>
          <w:szCs w:val="24"/>
          <w:highlight w:val="none"/>
        </w:rPr>
      </w:pPr>
      <w:bookmarkStart w:id="6" w:name="_bookmark5"/>
      <w:bookmarkEnd w:id="6"/>
      <w:bookmarkStart w:id="7" w:name="_bookmark6"/>
      <w:bookmarkEnd w:id="7"/>
      <w:bookmarkStart w:id="8" w:name="_Toc25576_WPSOffice_Level2"/>
      <w:r>
        <w:rPr>
          <w:rFonts w:hint="eastAsia"/>
          <w:b/>
          <w:color w:val="auto"/>
          <w:sz w:val="24"/>
          <w:szCs w:val="24"/>
          <w:highlight w:val="none"/>
        </w:rPr>
        <w:t>招标文件的获取</w:t>
      </w:r>
      <w:bookmarkEnd w:id="8"/>
    </w:p>
    <w:p>
      <w:pPr>
        <w:pStyle w:val="3"/>
        <w:tabs>
          <w:tab w:val="left" w:pos="3632"/>
          <w:tab w:val="left" w:pos="7203"/>
        </w:tabs>
        <w:spacing w:before="132" w:line="360" w:lineRule="auto"/>
        <w:ind w:left="240" w:right="691" w:firstLine="419"/>
        <w:rPr>
          <w:rFonts w:hint="eastAsia"/>
          <w:color w:val="auto"/>
          <w:sz w:val="24"/>
          <w:szCs w:val="24"/>
          <w:highlight w:val="none"/>
          <w:lang w:val="en-US" w:eastAsia="zh-CN"/>
        </w:rPr>
      </w:pPr>
      <w:r>
        <w:rPr>
          <w:rFonts w:hint="eastAsia"/>
          <w:color w:val="auto"/>
          <w:sz w:val="24"/>
          <w:szCs w:val="24"/>
          <w:highlight w:val="none"/>
          <w:lang w:val="en-US"/>
        </w:rPr>
        <w:t>4.</w:t>
      </w:r>
      <w:r>
        <w:rPr>
          <w:rFonts w:hint="eastAsia"/>
          <w:color w:val="auto"/>
          <w:sz w:val="24"/>
          <w:szCs w:val="24"/>
          <w:highlight w:val="none"/>
          <w:lang w:val="en-US" w:eastAsia="zh-CN"/>
        </w:rPr>
        <w:t>1 符合公告要求、有意愿参与的投标人请于2023年2月17日至2023年2月23日（上午9：00～12：00，下午14：00～17：00），在中通建设工程管理有限公司（成都市高新区吉庆三路333号蜀都中心二期1栋4单元2704）进行报名。报名时，必须携带：①经办人介绍信或法定代表人授权委托书（须注明报名的项目名称），以上证件收加盖投标人鲜章的原件②经办人身份证（核原件收加盖公章的复印件），以上证件收加盖投标人鲜章的复印件。</w:t>
      </w:r>
    </w:p>
    <w:p>
      <w:pPr>
        <w:pStyle w:val="3"/>
        <w:tabs>
          <w:tab w:val="left" w:pos="3632"/>
          <w:tab w:val="left" w:pos="7203"/>
        </w:tabs>
        <w:spacing w:before="132" w:line="360" w:lineRule="auto"/>
        <w:ind w:left="240" w:right="691" w:firstLine="419"/>
        <w:rPr>
          <w:color w:val="auto"/>
          <w:sz w:val="24"/>
          <w:szCs w:val="24"/>
          <w:highlight w:val="none"/>
          <w:lang w:val="en-US"/>
        </w:rPr>
      </w:pPr>
      <w:r>
        <w:rPr>
          <w:rFonts w:hint="eastAsia"/>
          <w:color w:val="auto"/>
          <w:sz w:val="24"/>
          <w:szCs w:val="24"/>
          <w:highlight w:val="none"/>
          <w:lang w:val="en-US" w:eastAsia="zh-CN"/>
        </w:rPr>
        <w:t>4.2 投标人采取</w:t>
      </w:r>
      <w:r>
        <w:rPr>
          <w:rFonts w:hint="eastAsia"/>
          <w:b/>
          <w:bCs/>
          <w:color w:val="auto"/>
          <w:sz w:val="24"/>
          <w:szCs w:val="24"/>
          <w:highlight w:val="none"/>
          <w:lang w:val="en-US" w:eastAsia="zh-CN"/>
        </w:rPr>
        <w:t>网上报名</w:t>
      </w:r>
      <w:r>
        <w:rPr>
          <w:rFonts w:hint="eastAsia"/>
          <w:color w:val="auto"/>
          <w:sz w:val="24"/>
          <w:szCs w:val="24"/>
          <w:highlight w:val="none"/>
          <w:lang w:val="en-US" w:eastAsia="zh-CN"/>
        </w:rPr>
        <w:t>时，应于规定报名时间段内将以上报名资料彩色扫描件发送至指定邮箱（623537211@qq.com）。报名资料确认无误后即为报名成功。</w:t>
      </w:r>
      <w:r>
        <w:rPr>
          <w:rFonts w:hint="eastAsia"/>
          <w:b/>
          <w:bCs/>
          <w:color w:val="auto"/>
          <w:sz w:val="24"/>
          <w:szCs w:val="24"/>
          <w:highlight w:val="none"/>
          <w:lang w:val="en-US" w:eastAsia="zh-CN"/>
        </w:rPr>
        <w:t>开标当天，投标人须将报名资料原件带至开标现场，交给现场代理人员</w:t>
      </w:r>
      <w:r>
        <w:rPr>
          <w:rFonts w:hint="eastAsia"/>
          <w:color w:val="auto"/>
          <w:sz w:val="24"/>
          <w:szCs w:val="24"/>
          <w:highlight w:val="none"/>
          <w:lang w:val="en-US" w:eastAsia="zh-CN"/>
        </w:rPr>
        <w:t>。</w:t>
      </w:r>
    </w:p>
    <w:p>
      <w:pPr>
        <w:pStyle w:val="6"/>
        <w:numPr>
          <w:ilvl w:val="0"/>
          <w:numId w:val="1"/>
        </w:numPr>
        <w:tabs>
          <w:tab w:val="left" w:pos="642"/>
        </w:tabs>
        <w:spacing w:before="49" w:line="360" w:lineRule="auto"/>
        <w:ind w:hanging="402"/>
        <w:rPr>
          <w:b/>
          <w:color w:val="auto"/>
          <w:sz w:val="24"/>
          <w:szCs w:val="24"/>
          <w:highlight w:val="none"/>
        </w:rPr>
      </w:pPr>
      <w:bookmarkStart w:id="9" w:name="_bookmark7"/>
      <w:bookmarkEnd w:id="9"/>
      <w:bookmarkStart w:id="10" w:name="_Toc2987_WPSOffice_Level2"/>
      <w:r>
        <w:rPr>
          <w:rFonts w:hint="eastAsia"/>
          <w:b/>
          <w:color w:val="auto"/>
          <w:sz w:val="24"/>
          <w:szCs w:val="24"/>
          <w:highlight w:val="none"/>
        </w:rPr>
        <w:t>投标文件的递交</w:t>
      </w:r>
      <w:bookmarkEnd w:id="10"/>
    </w:p>
    <w:p>
      <w:pPr>
        <w:pStyle w:val="3"/>
        <w:spacing w:before="2" w:line="360" w:lineRule="auto"/>
        <w:ind w:left="238" w:right="727" w:firstLine="480" w:firstLineChars="200"/>
        <w:rPr>
          <w:color w:val="auto"/>
          <w:sz w:val="24"/>
          <w:szCs w:val="24"/>
          <w:highlight w:val="none"/>
          <w:lang w:val="en-US"/>
        </w:rPr>
      </w:pPr>
      <w:r>
        <w:rPr>
          <w:rFonts w:hint="eastAsia"/>
          <w:color w:val="auto"/>
          <w:sz w:val="24"/>
          <w:szCs w:val="24"/>
          <w:highlight w:val="none"/>
          <w:lang w:val="en-US"/>
        </w:rPr>
        <w:t>5.1 投标文件递交截止时间</w:t>
      </w:r>
      <w:r>
        <w:rPr>
          <w:color w:val="auto"/>
          <w:sz w:val="24"/>
          <w:szCs w:val="24"/>
          <w:highlight w:val="none"/>
          <w:lang w:val="en-US"/>
        </w:rPr>
        <w:t>202</w:t>
      </w:r>
      <w:r>
        <w:rPr>
          <w:rFonts w:hint="eastAsia"/>
          <w:color w:val="auto"/>
          <w:sz w:val="24"/>
          <w:szCs w:val="24"/>
          <w:highlight w:val="none"/>
          <w:lang w:val="en-US" w:eastAsia="zh-CN"/>
        </w:rPr>
        <w:t>3</w:t>
      </w:r>
      <w:r>
        <w:rPr>
          <w:rFonts w:hint="eastAsia"/>
          <w:color w:val="auto"/>
          <w:sz w:val="24"/>
          <w:szCs w:val="24"/>
          <w:highlight w:val="none"/>
          <w:lang w:val="en-US"/>
        </w:rPr>
        <w:t>年</w:t>
      </w:r>
      <w:r>
        <w:rPr>
          <w:rFonts w:hint="eastAsia"/>
          <w:color w:val="auto"/>
          <w:sz w:val="24"/>
          <w:szCs w:val="24"/>
          <w:highlight w:val="none"/>
          <w:lang w:val="en-US" w:eastAsia="zh-CN"/>
        </w:rPr>
        <w:t>3</w:t>
      </w:r>
      <w:r>
        <w:rPr>
          <w:rFonts w:hint="eastAsia"/>
          <w:color w:val="auto"/>
          <w:sz w:val="24"/>
          <w:szCs w:val="24"/>
          <w:highlight w:val="none"/>
          <w:lang w:val="en-US"/>
        </w:rPr>
        <w:t>月</w:t>
      </w:r>
      <w:r>
        <w:rPr>
          <w:rFonts w:hint="eastAsia"/>
          <w:color w:val="auto"/>
          <w:sz w:val="24"/>
          <w:szCs w:val="24"/>
          <w:highlight w:val="none"/>
          <w:lang w:val="en-US" w:eastAsia="zh-CN"/>
        </w:rPr>
        <w:t>9</w:t>
      </w:r>
      <w:r>
        <w:rPr>
          <w:rFonts w:hint="eastAsia"/>
          <w:color w:val="auto"/>
          <w:sz w:val="24"/>
          <w:szCs w:val="24"/>
          <w:highlight w:val="none"/>
          <w:lang w:val="en-US"/>
        </w:rPr>
        <w:t>日</w:t>
      </w:r>
      <w:r>
        <w:rPr>
          <w:color w:val="auto"/>
          <w:sz w:val="24"/>
          <w:szCs w:val="24"/>
          <w:highlight w:val="none"/>
          <w:lang w:val="en-US"/>
        </w:rPr>
        <w:t>10</w:t>
      </w:r>
      <w:r>
        <w:rPr>
          <w:rFonts w:hint="eastAsia"/>
          <w:color w:val="auto"/>
          <w:sz w:val="24"/>
          <w:szCs w:val="24"/>
          <w:highlight w:val="none"/>
          <w:lang w:val="en-US"/>
        </w:rPr>
        <w:t>:</w:t>
      </w:r>
      <w:r>
        <w:rPr>
          <w:color w:val="auto"/>
          <w:sz w:val="24"/>
          <w:szCs w:val="24"/>
          <w:highlight w:val="none"/>
          <w:lang w:val="en-US"/>
        </w:rPr>
        <w:t>00</w:t>
      </w:r>
      <w:r>
        <w:rPr>
          <w:rFonts w:hint="eastAsia"/>
          <w:color w:val="auto"/>
          <w:sz w:val="24"/>
          <w:szCs w:val="24"/>
          <w:highlight w:val="none"/>
          <w:lang w:val="en-US"/>
        </w:rPr>
        <w:t xml:space="preserve"> 时；地点：</w:t>
      </w:r>
      <w:r>
        <w:rPr>
          <w:rFonts w:hint="eastAsia"/>
          <w:color w:val="auto"/>
          <w:sz w:val="24"/>
          <w:szCs w:val="24"/>
          <w:highlight w:val="none"/>
          <w:u w:val="single"/>
          <w:lang w:val="en-US"/>
        </w:rPr>
        <w:t>中通建设工程管理有限公司（成都市高新区吉庆三路333号蜀都中心二期1栋4单元2704）</w:t>
      </w:r>
      <w:r>
        <w:rPr>
          <w:rFonts w:hint="eastAsia"/>
          <w:color w:val="auto"/>
          <w:sz w:val="24"/>
          <w:szCs w:val="24"/>
          <w:highlight w:val="none"/>
          <w:lang w:val="en-US"/>
        </w:rPr>
        <w:t>。</w:t>
      </w:r>
    </w:p>
    <w:p>
      <w:pPr>
        <w:pStyle w:val="3"/>
        <w:spacing w:before="2" w:line="360" w:lineRule="auto"/>
        <w:ind w:left="238" w:right="727" w:firstLine="480" w:firstLineChars="200"/>
        <w:rPr>
          <w:color w:val="auto"/>
          <w:sz w:val="24"/>
          <w:szCs w:val="24"/>
          <w:highlight w:val="none"/>
        </w:rPr>
      </w:pPr>
      <w:r>
        <w:rPr>
          <w:rFonts w:hint="eastAsia"/>
          <w:color w:val="auto"/>
          <w:sz w:val="24"/>
          <w:szCs w:val="24"/>
          <w:highlight w:val="none"/>
          <w:lang w:val="en-US"/>
        </w:rPr>
        <w:t>5</w:t>
      </w:r>
      <w:r>
        <w:rPr>
          <w:rFonts w:hint="eastAsia"/>
          <w:color w:val="auto"/>
          <w:sz w:val="24"/>
          <w:szCs w:val="24"/>
          <w:highlight w:val="none"/>
        </w:rPr>
        <w:t>.2 逾期送达或者未送达指定地点或者不按照招标文件要求密封的投标文件，招标人不予受理。</w:t>
      </w:r>
    </w:p>
    <w:p>
      <w:pPr>
        <w:pStyle w:val="6"/>
        <w:numPr>
          <w:ilvl w:val="0"/>
          <w:numId w:val="1"/>
        </w:numPr>
        <w:tabs>
          <w:tab w:val="left" w:pos="642"/>
        </w:tabs>
        <w:spacing w:before="178" w:line="360" w:lineRule="auto"/>
        <w:ind w:hanging="402"/>
        <w:rPr>
          <w:b/>
          <w:color w:val="auto"/>
          <w:sz w:val="24"/>
          <w:szCs w:val="24"/>
          <w:highlight w:val="none"/>
        </w:rPr>
      </w:pPr>
      <w:bookmarkStart w:id="11" w:name="_bookmark8"/>
      <w:bookmarkEnd w:id="11"/>
      <w:bookmarkStart w:id="12" w:name="_Toc23265_WPSOffice_Level2"/>
      <w:r>
        <w:rPr>
          <w:rFonts w:hint="eastAsia"/>
          <w:b/>
          <w:color w:val="auto"/>
          <w:sz w:val="24"/>
          <w:szCs w:val="24"/>
          <w:highlight w:val="none"/>
        </w:rPr>
        <w:t>发布公告的媒介</w:t>
      </w:r>
      <w:bookmarkEnd w:id="12"/>
    </w:p>
    <w:p>
      <w:pPr>
        <w:pStyle w:val="3"/>
        <w:tabs>
          <w:tab w:val="left" w:pos="4020"/>
        </w:tabs>
        <w:spacing w:before="302" w:line="360" w:lineRule="auto"/>
        <w:ind w:left="658" w:firstLine="480" w:firstLineChars="200"/>
        <w:rPr>
          <w:color w:val="auto"/>
          <w:sz w:val="24"/>
          <w:szCs w:val="24"/>
          <w:highlight w:val="none"/>
        </w:rPr>
      </w:pPr>
      <w:r>
        <w:rPr>
          <w:rFonts w:hint="eastAsia"/>
          <w:color w:val="auto"/>
          <w:sz w:val="24"/>
          <w:szCs w:val="24"/>
          <w:highlight w:val="none"/>
        </w:rPr>
        <w:t>本次</w:t>
      </w:r>
      <w:r>
        <w:rPr>
          <w:rFonts w:hint="eastAsia"/>
          <w:color w:val="auto"/>
          <w:spacing w:val="-3"/>
          <w:sz w:val="24"/>
          <w:szCs w:val="24"/>
          <w:highlight w:val="none"/>
        </w:rPr>
        <w:t>招</w:t>
      </w:r>
      <w:r>
        <w:rPr>
          <w:rFonts w:hint="eastAsia"/>
          <w:color w:val="auto"/>
          <w:sz w:val="24"/>
          <w:szCs w:val="24"/>
          <w:highlight w:val="none"/>
        </w:rPr>
        <w:t>标</w:t>
      </w:r>
      <w:r>
        <w:rPr>
          <w:rFonts w:hint="eastAsia"/>
          <w:color w:val="auto"/>
          <w:spacing w:val="-3"/>
          <w:sz w:val="24"/>
          <w:szCs w:val="24"/>
          <w:highlight w:val="none"/>
        </w:rPr>
        <w:t>公</w:t>
      </w:r>
      <w:r>
        <w:rPr>
          <w:rFonts w:hint="eastAsia"/>
          <w:color w:val="auto"/>
          <w:sz w:val="24"/>
          <w:szCs w:val="24"/>
          <w:highlight w:val="none"/>
        </w:rPr>
        <w:t>告</w:t>
      </w:r>
      <w:r>
        <w:rPr>
          <w:rFonts w:hint="eastAsia"/>
          <w:color w:val="auto"/>
          <w:spacing w:val="-3"/>
          <w:sz w:val="24"/>
          <w:szCs w:val="24"/>
          <w:highlight w:val="none"/>
        </w:rPr>
        <w:t>在</w:t>
      </w:r>
      <w:r>
        <w:rPr>
          <w:rFonts w:hint="eastAsia"/>
          <w:color w:val="auto"/>
          <w:sz w:val="24"/>
          <w:szCs w:val="24"/>
          <w:highlight w:val="none"/>
          <w:lang w:val="en-US"/>
        </w:rPr>
        <w:t>在四川蜀道新制式轨道集团有限公司官网（网址：https://www.shudaogdjt.com/</w:t>
      </w:r>
      <w:r>
        <w:rPr>
          <w:rFonts w:hint="eastAsia"/>
          <w:color w:val="auto"/>
          <w:spacing w:val="-3"/>
          <w:sz w:val="24"/>
          <w:szCs w:val="24"/>
          <w:highlight w:val="none"/>
          <w:u w:val="single"/>
        </w:rPr>
        <w:t>）</w:t>
      </w:r>
      <w:r>
        <w:rPr>
          <w:rFonts w:hint="eastAsia"/>
          <w:color w:val="auto"/>
          <w:spacing w:val="-3"/>
          <w:sz w:val="24"/>
          <w:szCs w:val="24"/>
          <w:highlight w:val="none"/>
        </w:rPr>
        <w:t>上</w:t>
      </w:r>
      <w:r>
        <w:rPr>
          <w:rFonts w:hint="eastAsia"/>
          <w:color w:val="auto"/>
          <w:sz w:val="24"/>
          <w:szCs w:val="24"/>
          <w:highlight w:val="none"/>
        </w:rPr>
        <w:t>发</w:t>
      </w:r>
      <w:r>
        <w:rPr>
          <w:rFonts w:hint="eastAsia"/>
          <w:color w:val="auto"/>
          <w:spacing w:val="-3"/>
          <w:sz w:val="24"/>
          <w:szCs w:val="24"/>
          <w:highlight w:val="none"/>
        </w:rPr>
        <w:t>布</w:t>
      </w:r>
      <w:r>
        <w:rPr>
          <w:rFonts w:hint="eastAsia"/>
          <w:color w:val="auto"/>
          <w:sz w:val="24"/>
          <w:szCs w:val="24"/>
          <w:highlight w:val="none"/>
        </w:rPr>
        <w:t>。</w:t>
      </w:r>
    </w:p>
    <w:p>
      <w:pPr>
        <w:pStyle w:val="6"/>
        <w:numPr>
          <w:ilvl w:val="0"/>
          <w:numId w:val="1"/>
        </w:numPr>
        <w:tabs>
          <w:tab w:val="left" w:pos="642"/>
        </w:tabs>
        <w:spacing w:before="175"/>
        <w:ind w:hanging="402"/>
        <w:rPr>
          <w:b/>
          <w:color w:val="auto"/>
          <w:sz w:val="24"/>
          <w:szCs w:val="24"/>
          <w:highlight w:val="none"/>
        </w:rPr>
      </w:pPr>
      <w:bookmarkStart w:id="13" w:name="_bookmark9"/>
      <w:bookmarkEnd w:id="13"/>
      <w:bookmarkStart w:id="14" w:name="_Toc28655_WPSOffice_Level2"/>
      <w:r>
        <w:rPr>
          <w:rFonts w:hint="eastAsia"/>
          <w:b/>
          <w:color w:val="auto"/>
          <w:sz w:val="24"/>
          <w:szCs w:val="24"/>
          <w:highlight w:val="none"/>
        </w:rPr>
        <w:t>联系方式</w:t>
      </w:r>
      <w:bookmarkEnd w:id="14"/>
    </w:p>
    <w:p>
      <w:pPr>
        <w:pStyle w:val="3"/>
        <w:spacing w:before="2" w:line="360" w:lineRule="auto"/>
        <w:ind w:left="238" w:right="727"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 标 人：四川都金山地轨道交通有限责任公司</w:t>
      </w:r>
    </w:p>
    <w:p>
      <w:pPr>
        <w:pStyle w:val="3"/>
        <w:spacing w:before="2" w:line="360" w:lineRule="auto"/>
        <w:ind w:left="238" w:right="727"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val="en-US"/>
        </w:rPr>
        <w:t>都江堰市观景路833号</w:t>
      </w:r>
      <w:r>
        <w:rPr>
          <w:rFonts w:hint="eastAsia" w:ascii="宋体" w:hAnsi="宋体" w:eastAsia="宋体" w:cs="宋体"/>
          <w:color w:val="auto"/>
          <w:sz w:val="24"/>
          <w:szCs w:val="24"/>
          <w:highlight w:val="none"/>
        </w:rPr>
        <w:t xml:space="preserve"> </w:t>
      </w:r>
    </w:p>
    <w:p>
      <w:pPr>
        <w:pStyle w:val="3"/>
        <w:spacing w:before="2" w:line="360" w:lineRule="auto"/>
        <w:ind w:left="238" w:right="727"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rPr>
        <w:t>王女士</w:t>
      </w:r>
    </w:p>
    <w:p>
      <w:pPr>
        <w:pStyle w:val="3"/>
        <w:spacing w:before="2" w:line="360" w:lineRule="auto"/>
        <w:ind w:left="238" w:right="727"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rPr>
        <w:t>028-67157291</w:t>
      </w:r>
    </w:p>
    <w:p>
      <w:pPr>
        <w:pStyle w:val="3"/>
        <w:spacing w:before="2" w:line="360" w:lineRule="auto"/>
        <w:ind w:left="238" w:right="727" w:firstLine="480" w:firstLineChars="200"/>
        <w:jc w:val="left"/>
        <w:rPr>
          <w:rFonts w:hint="eastAsia" w:ascii="宋体" w:hAnsi="宋体" w:eastAsia="宋体" w:cs="宋体"/>
          <w:color w:val="auto"/>
          <w:sz w:val="24"/>
          <w:szCs w:val="24"/>
          <w:highlight w:val="none"/>
        </w:rPr>
      </w:pPr>
    </w:p>
    <w:p>
      <w:pPr>
        <w:pStyle w:val="3"/>
        <w:spacing w:before="2" w:line="360" w:lineRule="auto"/>
        <w:ind w:left="238" w:right="727"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招标代理机构：中通建设工程管理有限公司</w:t>
      </w:r>
    </w:p>
    <w:p>
      <w:pPr>
        <w:pStyle w:val="3"/>
        <w:spacing w:before="2" w:line="360" w:lineRule="auto"/>
        <w:ind w:left="238" w:right="727"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val="en-US"/>
        </w:rPr>
        <w:t>成都市高新区吉庆三路333号蜀都中心二期1栋4单元2704</w:t>
      </w:r>
    </w:p>
    <w:p>
      <w:pPr>
        <w:pStyle w:val="3"/>
        <w:spacing w:before="2" w:line="360" w:lineRule="auto"/>
        <w:ind w:left="238" w:right="727"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 系</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rPr>
        <w:t>李女士</w:t>
      </w:r>
    </w:p>
    <w:p>
      <w:pPr>
        <w:pStyle w:val="3"/>
        <w:spacing w:before="2" w:line="360" w:lineRule="auto"/>
        <w:ind w:left="238" w:right="727"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z w:val="24"/>
          <w:szCs w:val="24"/>
          <w:highlight w:val="none"/>
        </w:rPr>
        <w:t>话：028-83226053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ind w:left="64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240" w:hanging="370"/>
      </w:pPr>
      <w:rPr>
        <w:rFonts w:hint="default" w:ascii="Times New Roman" w:hAnsi="Times New Roman" w:eastAsia="Times New Roman" w:cs="Times New Roman"/>
        <w:w w:val="100"/>
        <w:sz w:val="21"/>
        <w:szCs w:val="21"/>
        <w:lang w:val="zh-CN" w:eastAsia="zh-CN" w:bidi="zh-CN"/>
      </w:rPr>
    </w:lvl>
    <w:lvl w:ilvl="2" w:tentative="0">
      <w:start w:val="1"/>
      <w:numFmt w:val="bullet"/>
      <w:lvlText w:val="•"/>
      <w:lvlJc w:val="left"/>
      <w:pPr>
        <w:ind w:left="1633" w:hanging="370"/>
      </w:pPr>
      <w:rPr>
        <w:rFonts w:hint="default"/>
        <w:lang w:val="zh-CN" w:eastAsia="zh-CN" w:bidi="zh-CN"/>
      </w:rPr>
    </w:lvl>
    <w:lvl w:ilvl="3" w:tentative="0">
      <w:start w:val="1"/>
      <w:numFmt w:val="bullet"/>
      <w:lvlText w:val="•"/>
      <w:lvlJc w:val="left"/>
      <w:pPr>
        <w:ind w:left="2626" w:hanging="370"/>
      </w:pPr>
      <w:rPr>
        <w:rFonts w:hint="default"/>
        <w:lang w:val="zh-CN" w:eastAsia="zh-CN" w:bidi="zh-CN"/>
      </w:rPr>
    </w:lvl>
    <w:lvl w:ilvl="4" w:tentative="0">
      <w:start w:val="1"/>
      <w:numFmt w:val="bullet"/>
      <w:lvlText w:val="•"/>
      <w:lvlJc w:val="left"/>
      <w:pPr>
        <w:ind w:left="3620" w:hanging="370"/>
      </w:pPr>
      <w:rPr>
        <w:rFonts w:hint="default"/>
        <w:lang w:val="zh-CN" w:eastAsia="zh-CN" w:bidi="zh-CN"/>
      </w:rPr>
    </w:lvl>
    <w:lvl w:ilvl="5" w:tentative="0">
      <w:start w:val="1"/>
      <w:numFmt w:val="bullet"/>
      <w:lvlText w:val="•"/>
      <w:lvlJc w:val="left"/>
      <w:pPr>
        <w:ind w:left="4613" w:hanging="370"/>
      </w:pPr>
      <w:rPr>
        <w:rFonts w:hint="default"/>
        <w:lang w:val="zh-CN" w:eastAsia="zh-CN" w:bidi="zh-CN"/>
      </w:rPr>
    </w:lvl>
    <w:lvl w:ilvl="6" w:tentative="0">
      <w:start w:val="1"/>
      <w:numFmt w:val="bullet"/>
      <w:lvlText w:val="•"/>
      <w:lvlJc w:val="left"/>
      <w:pPr>
        <w:ind w:left="5606" w:hanging="370"/>
      </w:pPr>
      <w:rPr>
        <w:rFonts w:hint="default"/>
        <w:lang w:val="zh-CN" w:eastAsia="zh-CN" w:bidi="zh-CN"/>
      </w:rPr>
    </w:lvl>
    <w:lvl w:ilvl="7" w:tentative="0">
      <w:start w:val="1"/>
      <w:numFmt w:val="bullet"/>
      <w:lvlText w:val="•"/>
      <w:lvlJc w:val="left"/>
      <w:pPr>
        <w:ind w:left="6600" w:hanging="370"/>
      </w:pPr>
      <w:rPr>
        <w:rFonts w:hint="default"/>
        <w:lang w:val="zh-CN" w:eastAsia="zh-CN" w:bidi="zh-CN"/>
      </w:rPr>
    </w:lvl>
    <w:lvl w:ilvl="8" w:tentative="0">
      <w:start w:val="1"/>
      <w:numFmt w:val="bullet"/>
      <w:lvlText w:val="•"/>
      <w:lvlJc w:val="left"/>
      <w:pPr>
        <w:ind w:left="7593" w:hanging="37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2A3772C4"/>
    <w:rsid w:val="2A3772C4"/>
    <w:rsid w:val="3A1B65D5"/>
    <w:rsid w:val="3AF7662F"/>
    <w:rsid w:val="3B313F63"/>
    <w:rsid w:val="4E4E7A1B"/>
    <w:rsid w:val="5BC00614"/>
    <w:rsid w:val="63C43C8B"/>
    <w:rsid w:val="63F843C9"/>
    <w:rsid w:val="731E3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3"/>
    <w:basedOn w:val="1"/>
    <w:next w:val="1"/>
    <w:qFormat/>
    <w:uiPriority w:val="1"/>
    <w:pPr>
      <w:ind w:left="866" w:hanging="490"/>
      <w:outlineLvl w:val="2"/>
    </w:pPr>
    <w:rPr>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customStyle="1" w:styleId="6">
    <w:name w:val="列表段落1"/>
    <w:basedOn w:val="1"/>
    <w:qFormat/>
    <w:uiPriority w:val="1"/>
    <w:pPr>
      <w:ind w:left="240" w:firstLine="419"/>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2023-02-16T03:10:00Z</dcterms:created>
  <dc:creator>Y</dc:creator>
  <cp:lastModifiedBy>Y</cp:lastModifiedBy>
  <dcterms:modified xsi:type="dcterms:W3CDTF">2023-02-16T03:11:07Z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98DB38D70A4146B9834BEE646696A12E</vt:lpwstr>
  </property>
</Properties>
</file>