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pStyle w:val="4"/>
        <w:numPr>
          <w:ilvl w:val="0"/>
          <w:numId w:val="0"/>
        </w:numPr>
        <w:bidi w:val="0"/>
        <w:ind w:leftChars="0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bookmarkStart w:id="11" w:name="_GoBack"/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检测技术要求（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铝天桥检测</w:t>
      </w: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  <w:lang w:val="en-US" w:eastAsia="zh-CN"/>
        </w:rPr>
        <w:t>）</w:t>
      </w:r>
      <w:bookmarkEnd w:id="11"/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检测依据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《城市桥梁养护技术标准》（CJJ 99-2017）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《城市桥梁检测与评定技术规范》（CJJ/T 233-2015）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bookmarkStart w:id="0" w:name="_Hlk73351233"/>
      <w:r>
        <w:rPr>
          <w:rFonts w:hint="default" w:ascii="Times New Roman" w:hAnsi="Times New Roman" w:cs="Times New Roman"/>
          <w:sz w:val="32"/>
          <w:szCs w:val="32"/>
        </w:rPr>
        <w:t>《城市人行天桥与人行地道技术规范》（CJJ 69-1995）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《城市桥梁工程施工与质量验收规范 》（CJJ2-2008）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both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《城市桥梁设计规范》（CJJ11-2011）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《工程测量标准》(GB 50026-2020)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after="0"/>
        <w:jc w:val="both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《城镇桥梁钢结构防腐蚀涂装工程技术规程》（CJJ/T 235-2015）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jc w:val="both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《钢结构现场检测技术标准》（GB/T 50621-2010）</w:t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bookmarkEnd w:id="0"/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  <w:b w:val="0"/>
          <w:bCs/>
          <w:lang w:val="en-US" w:eastAsia="zh-CN"/>
        </w:rPr>
      </w:pPr>
      <w:bookmarkStart w:id="1" w:name="_Toc29305899"/>
      <w:r>
        <w:rPr>
          <w:rFonts w:hint="default" w:ascii="Times New Roman" w:hAnsi="Times New Roman" w:cs="Times New Roman"/>
          <w:b w:val="0"/>
          <w:bCs/>
          <w:lang w:val="en-US" w:eastAsia="zh-CN"/>
        </w:rPr>
        <w:t>检测内容</w:t>
      </w:r>
      <w:bookmarkEnd w:id="1"/>
    </w:p>
    <w:p>
      <w:pPr>
        <w:pStyle w:val="5"/>
        <w:bidi w:val="0"/>
        <w:ind w:left="0" w:leftChars="0" w:firstLine="0" w:firstLineChars="0"/>
        <w:rPr>
          <w:rFonts w:hint="eastAsia" w:ascii="楷体" w:hAnsi="楷体" w:eastAsia="楷体" w:cs="楷体"/>
          <w:b w:val="0"/>
          <w:bCs/>
          <w:sz w:val="32"/>
          <w:szCs w:val="32"/>
        </w:rPr>
      </w:pPr>
      <w:bookmarkStart w:id="2" w:name="_Toc24369871"/>
      <w:bookmarkStart w:id="3" w:name="_Toc29305900"/>
      <w:r>
        <w:rPr>
          <w:rFonts w:hint="eastAsia" w:ascii="楷体" w:hAnsi="楷体" w:eastAsia="楷体" w:cs="楷体"/>
          <w:b w:val="0"/>
          <w:bCs/>
          <w:sz w:val="32"/>
          <w:szCs w:val="32"/>
        </w:rPr>
        <w:t>检测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内容</w:t>
      </w:r>
      <w:bookmarkEnd w:id="2"/>
      <w:bookmarkEnd w:id="3"/>
    </w:p>
    <w:p>
      <w:pPr>
        <w:pStyle w:val="7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bookmarkStart w:id="4" w:name="_Toc521920501"/>
      <w:bookmarkStart w:id="5" w:name="_Toc75177721"/>
      <w:bookmarkStart w:id="6" w:name="_Toc67651678"/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常规定期检测</w:t>
      </w:r>
      <w:bookmarkEnd w:id="4"/>
      <w:bookmarkEnd w:id="5"/>
      <w:bookmarkEnd w:id="6"/>
    </w:p>
    <w:p>
      <w:pPr>
        <w:ind w:firstLine="48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1)常规定期检测应包括以下内容：</w:t>
      </w:r>
    </w:p>
    <w:p>
      <w:pPr>
        <w:ind w:firstLine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a. 对照桥梁资料卡（《城市桥梁养护技术标准》CJJ 99-2017附录B）和设备量年报表（《城市桥梁养护技术规范》CJJ 99-2017附录C）现场校核桥梁的基本数据，对数据有误或数据变更的桥梁提供相应的变更数据和补充数据；</w:t>
      </w:r>
    </w:p>
    <w:p>
      <w:pPr>
        <w:ind w:firstLine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b. 记录病害状况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实地判断损坏原因，估计维修范围和方案；</w:t>
      </w:r>
    </w:p>
    <w:p>
      <w:pPr>
        <w:ind w:firstLine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c. 对难以判断其损坏程度和原因的构件，提出作特殊检测的建议；</w:t>
      </w:r>
    </w:p>
    <w:p>
      <w:pPr>
        <w:ind w:firstLine="48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d. 对损坏严重、危及安全的桥梁，提出限载以至暂时限制交通的建议；</w:t>
      </w:r>
    </w:p>
    <w:p>
      <w:pPr>
        <w:ind w:firstLine="48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e. 根据桥梁技术状况，确定下次检测的时间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ind w:firstLine="48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2)常规定期检测应包括下列范围：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a. 桥面系：桥面铺装、桥头搭板、伸缩装置、排水系统、人行道、护栏等；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b. 上部结构：主梁、横向联系、主节点、挂梁、联结件等；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c. 下部结构：支座、盖梁、墩身、台帽、台身、翼墙、锥坡及河床冲刷情况。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)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常规定期检测的情况记录、评分及养护维修管理措施的建议，均应及时整理、归档。已建立信息管理系统的，应及时纳入城市桥梁管理系统数据库。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)根据常规定期检测的结果，进行桥梁状况的评估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和分级</w:t>
      </w:r>
      <w:r>
        <w:rPr>
          <w:rFonts w:hint="eastAsia" w:ascii="仿宋_GB2312" w:hAnsi="仿宋_GB2312" w:eastAsia="仿宋_GB2312" w:cs="仿宋_GB2312"/>
          <w:sz w:val="32"/>
          <w:szCs w:val="32"/>
        </w:rPr>
        <w:t>。Ⅰ类养护的城市桥梁应按影响结构安全状况进行评估；Ⅱ~Ⅴ类养护的城市桥梁应按《城市桥梁养护技术标准》CJJ 99-2017附录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D</w:t>
      </w:r>
      <w:r>
        <w:rPr>
          <w:rFonts w:hint="eastAsia" w:ascii="仿宋_GB2312" w:hAnsi="仿宋_GB2312" w:eastAsia="仿宋_GB2312" w:cs="仿宋_GB2312"/>
          <w:sz w:val="32"/>
          <w:szCs w:val="32"/>
        </w:rPr>
        <w:t>对桥面系、上部结构、下部结构评分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等级、</w:t>
      </w:r>
      <w:r>
        <w:rPr>
          <w:rFonts w:hint="eastAsia" w:ascii="仿宋_GB2312" w:hAnsi="仿宋_GB2312" w:eastAsia="仿宋_GB2312" w:cs="仿宋_GB2312"/>
          <w:sz w:val="32"/>
          <w:szCs w:val="32"/>
        </w:rPr>
        <w:t>扣分表进行评估。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firstLine="633" w:firstLineChars="198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I类养护的成都桥梁因结构损坏被评定为不合格的，应立即限制交通，组织修复。对II类~V类养护的城市桥梁被评估为D级桥梁的，应提出处理措施，需紧急抢修的桥梁应提出时间要求；被评估为E级桥梁的，应立即限制交通，及时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5)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定期</w:t>
      </w:r>
      <w:r>
        <w:rPr>
          <w:rFonts w:hint="eastAsia" w:ascii="仿宋_GB2312" w:hAnsi="仿宋_GB2312" w:eastAsia="仿宋_GB2312" w:cs="仿宋_GB2312"/>
          <w:sz w:val="32"/>
          <w:szCs w:val="32"/>
        </w:rPr>
        <w:t>检测完成后，须以正式报告的形式报送给采购人。</w:t>
      </w:r>
    </w:p>
    <w:p>
      <w:pPr>
        <w:pStyle w:val="7"/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外观质量检测</w:t>
      </w:r>
    </w:p>
    <w:p>
      <w:pPr>
        <w:pStyle w:val="11"/>
        <w:numPr>
          <w:ilvl w:val="0"/>
          <w:numId w:val="3"/>
        </w:numPr>
        <w:spacing w:before="120" w:line="360" w:lineRule="auto"/>
        <w:ind w:left="900" w:firstLineChars="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桥面系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沥青混凝土桥面铺装层有无变形（车辙、拥包、高低不平）、泛油、破损、裂缝（龟裂、块裂、纵向裂缝、横向裂缝）。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伸缩装置是否存在凹凸不平，锚固区缺陷，破损，失效等病害。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栏杆、护栏是否存在撞坏、缺失，破损等。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防排水系统是否存在排水不畅，泄水管、引水槽缺陷等。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人行道块件有无破损，缺失等。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照明、标志是否存在污损或损坏，照明设施缺失，标志脱落、缺失等。</w:t>
      </w:r>
    </w:p>
    <w:p>
      <w:pPr>
        <w:pStyle w:val="11"/>
        <w:numPr>
          <w:ilvl w:val="0"/>
          <w:numId w:val="3"/>
        </w:numPr>
        <w:spacing w:before="120" w:line="360" w:lineRule="auto"/>
        <w:ind w:left="900" w:firstLineChars="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上部结构检测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各跨跨中挠度是否超过限值，是否影响承载能力和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正常使用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结构横向联系构件是否存在松动，纵向接缝有无开裂，边梁有无外倾、失稳等现象。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支座是否清洁，周围有无杂物堆积，防尘、防水装置是否完好，支座防腐是否有效。</w:t>
      </w:r>
    </w:p>
    <w:p>
      <w:pPr>
        <w:pStyle w:val="8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4）钢结构的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焊缝检测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和防腐涂层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检测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901" w:hanging="420" w:firstLineChars="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下部结构检测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盖梁是否存在结构裂缝，盖梁有无混凝土是否有剥落、露筋、蜂窝、麻面、空洞、孔洞，裂缝处是否出现渗水、盐析。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墩身是否存在结构性裂缝，变形，是否有混凝土剥落、露筋，蜂窝、麻面，空洞、孔洞，风化，渗水、腐蚀、耐久性病害等表观缺陷。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混凝土桥台台身及帽梁有无冻胀、风化、腐蚀、开裂、剥落、露筋、空洞、孔洞等，台背填土有无沉降裂缝或挤压隆起，台背填土是否排水不畅，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墩台顶面是否清洁，有无积水、泥土、杂物堆积、滋生草木。</w:t>
      </w:r>
    </w:p>
    <w:p>
      <w:pPr>
        <w:spacing w:line="360" w:lineRule="auto"/>
        <w:ind w:firstLine="48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基础是否存在冲刷或掏空现象，是否存在变形，开裂。</w:t>
      </w:r>
    </w:p>
    <w:p>
      <w:pPr>
        <w:pStyle w:val="7"/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7" w:name="_Toc29305902"/>
      <w:bookmarkStart w:id="8" w:name="_Toc2436987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钢结构</w:t>
      </w:r>
      <w:r>
        <w:rPr>
          <w:rFonts w:hint="eastAsia" w:ascii="仿宋_GB2312" w:hAnsi="仿宋_GB2312" w:eastAsia="仿宋_GB2312" w:cs="仿宋_GB2312"/>
          <w:sz w:val="32"/>
          <w:szCs w:val="32"/>
        </w:rPr>
        <w:t>检测</w:t>
      </w:r>
      <w:bookmarkEnd w:id="7"/>
      <w:bookmarkEnd w:id="8"/>
    </w:p>
    <w:p>
      <w:pPr>
        <w:spacing w:before="120" w:line="360" w:lineRule="auto"/>
        <w:ind w:firstLine="48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钢结构构件防腐、防腐涂层厚度检测应按现行国家标准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《钢结构现场检测技术标准》（GB/T 50621-2010）的规定执行，抽检的构件数量及同一构件的测点数量不得低于现行国家标准《钢结构工程施工质量验收规范》（GB 50205-2020）的规定；钢结构构件缺损检测应按现行国家标准《钢结构现场检测技术标准》（GB/T 50621-2010）的规定执行；缺损度宜按下表评定。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表1 与涂层劣化相应的缺损程度评定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19905" cy="2842895"/>
            <wp:effectExtent l="0" t="0" r="444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表2 与锈蚀相应的缺损程度评定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00040" cy="2556510"/>
            <wp:effectExtent l="0" t="0" r="10160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00040" cy="2661920"/>
            <wp:effectExtent l="0" t="0" r="10160" b="508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br w:type="page"/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表3 与焊缝开裂相应的缺损程度评定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00040" cy="4666615"/>
            <wp:effectExtent l="0" t="0" r="1016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br w:type="page"/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表4 与铆钉（螺栓）损失相应的缺损程度评定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00040" cy="5307330"/>
            <wp:effectExtent l="0" t="0" r="1016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9" w:name="_Toc29305906"/>
      <w:bookmarkStart w:id="10" w:name="_Toc2436988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人行天桥检测</w:t>
      </w:r>
    </w:p>
    <w:p>
      <w:pPr>
        <w:spacing w:before="120" w:line="360" w:lineRule="auto"/>
        <w:ind w:firstLine="48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人行天桥结构检测评定除应满足上述要求外，还应对下列天桥附属结构及设施进行检测。</w:t>
      </w:r>
    </w:p>
    <w:p>
      <w:pPr>
        <w:pStyle w:val="8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1）栏杆、顶棚与结构的连接。人行天桥栏杆的高度、最大净空以及与结构连接的检测结果评定应符合现行行业标准《城市人行天桥与人行地道技术规范》（CJJ 69-1995）的规定。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2）当梯道与主桥采用牛腿搭接方式时，牛腿的裂缝与损伤。</w:t>
      </w:r>
    </w:p>
    <w:p>
      <w:pPr>
        <w:pStyle w:val="8"/>
        <w:rPr>
          <w:rFonts w:hint="default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3）其他对结构、行人和交通安全产生影响的附属结构及设施。</w:t>
      </w:r>
    </w:p>
    <w:bookmarkEnd w:id="9"/>
    <w:bookmarkEnd w:id="10"/>
    <w:p>
      <w:pPr>
        <w:pStyle w:val="5"/>
        <w:bidi w:val="0"/>
        <w:ind w:left="0" w:leftChars="0" w:firstLine="0" w:firstLineChars="0"/>
        <w:rPr>
          <w:rFonts w:hint="eastAsia" w:ascii="楷体" w:hAnsi="楷体" w:eastAsia="楷体" w:cs="楷体"/>
          <w:b w:val="0"/>
          <w:bCs/>
          <w:sz w:val="32"/>
          <w:szCs w:val="32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城市桥梁技术状况评估方法</w:t>
      </w:r>
    </w:p>
    <w:p>
      <w:pPr>
        <w:pStyle w:val="12"/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4679950" cy="3829685"/>
            <wp:effectExtent l="0" t="0" r="6350" b="1841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9950" cy="4187190"/>
            <wp:effectExtent l="0" t="0" r="6350" b="381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4274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79950" cy="2982595"/>
            <wp:effectExtent l="0" t="0" r="6350" b="825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t="592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jc w:val="center"/>
      </w:pPr>
      <w:r>
        <w:drawing>
          <wp:inline distT="0" distB="0" distL="114300" distR="114300">
            <wp:extent cx="4679950" cy="5895975"/>
            <wp:effectExtent l="0" t="0" r="635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1997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jc w:val="center"/>
      </w:pPr>
      <w:r>
        <w:drawing>
          <wp:inline distT="0" distB="0" distL="114300" distR="114300">
            <wp:extent cx="4679950" cy="1652270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jc w:val="center"/>
      </w:pPr>
      <w:r>
        <w:drawing>
          <wp:inline distT="0" distB="0" distL="114300" distR="114300">
            <wp:extent cx="4644390" cy="7314565"/>
            <wp:effectExtent l="0" t="0" r="3810" b="635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bidi w:val="0"/>
        <w:jc w:val="center"/>
      </w:pPr>
      <w:r>
        <w:drawing>
          <wp:inline distT="0" distB="0" distL="114300" distR="114300">
            <wp:extent cx="4679950" cy="7461250"/>
            <wp:effectExtent l="0" t="0" r="6350" b="635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12"/>
        <w:bidi w:val="0"/>
        <w:jc w:val="center"/>
      </w:pPr>
      <w:r>
        <w:drawing>
          <wp:inline distT="0" distB="0" distL="114300" distR="114300">
            <wp:extent cx="4679950" cy="7266305"/>
            <wp:effectExtent l="0" t="0" r="6350" b="1079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12"/>
        <w:bidi w:val="0"/>
        <w:jc w:val="center"/>
        <w:rPr>
          <w:rFonts w:hint="default"/>
        </w:rPr>
      </w:pPr>
      <w:r>
        <w:drawing>
          <wp:inline distT="0" distB="0" distL="114300" distR="114300">
            <wp:extent cx="4679950" cy="5870575"/>
            <wp:effectExtent l="0" t="0" r="6350" b="15875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8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C1DBE4-5628-437F-90FC-1FDE9F529A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8B9CA19-6A17-415B-8B97-0F3AA192F8A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E3756BA-0604-46D7-AC98-94CA729A19E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AE6E7C5B-8AFF-4361-A798-D92781A5224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F659360-200D-47CF-B901-DC99DD4EDD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75FD6"/>
    <w:multiLevelType w:val="multilevel"/>
    <w:tmpl w:val="25875FD6"/>
    <w:lvl w:ilvl="0" w:tentative="0">
      <w:start w:val="1"/>
      <w:numFmt w:val="chineseCountingThousand"/>
      <w:lvlText w:val="(%1)"/>
      <w:lvlJc w:val="left"/>
      <w:pPr>
        <w:ind w:left="562" w:hanging="420"/>
      </w:p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 w:tentative="0">
      <w:start w:val="0"/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 w:tentative="0">
      <w:start w:val="0"/>
      <w:numFmt w:val="decimal"/>
      <w:pStyle w:val="2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2">
    <w:nsid w:val="4E3AFB08"/>
    <w:multiLevelType w:val="multilevel"/>
    <w:tmpl w:val="4E3AFB08"/>
    <w:lvl w:ilvl="0" w:tentative="0">
      <w:start w:val="1"/>
      <w:numFmt w:val="decimal"/>
      <w:pStyle w:val="4"/>
      <w:lvlText w:val="第%1章"/>
      <w:lvlJc w:val="left"/>
      <w:pPr>
        <w:tabs>
          <w:tab w:val="left" w:pos="0"/>
        </w:tabs>
      </w:pPr>
      <w:rPr>
        <w:rFonts w:hint="default"/>
      </w:rPr>
    </w:lvl>
    <w:lvl w:ilvl="1" w:tentative="0">
      <w:start w:val="1"/>
      <w:numFmt w:val="decimal"/>
      <w:pStyle w:val="5"/>
      <w:lvlText w:val="%1.%2"/>
      <w:lvlJc w:val="left"/>
      <w:rPr>
        <w:rFonts w:hint="default"/>
      </w:rPr>
    </w:lvl>
    <w:lvl w:ilvl="2" w:tentative="0">
      <w:start w:val="1"/>
      <w:numFmt w:val="decimal"/>
      <w:pStyle w:val="7"/>
      <w:lvlText w:val="%1.%2.%3"/>
      <w:lvlJc w:val="left"/>
      <w:rPr>
        <w:rFonts w:hint="default"/>
      </w:rPr>
    </w:lvl>
    <w:lvl w:ilvl="3" w:tentative="0">
      <w:start w:val="1"/>
      <w:numFmt w:val="decimal"/>
      <w:lvlText w:val="%1.%2.%3.%4"/>
      <w:lvlJc w:val="left"/>
      <w:rPr>
        <w:rFonts w:hint="default"/>
      </w:rPr>
    </w:lvl>
    <w:lvl w:ilvl="4" w:tentative="0">
      <w:start w:val="1"/>
      <w:numFmt w:val="decimal"/>
      <w:lvlText w:val="%1.%2.%3.%4.%5"/>
      <w:lvlJc w:val="left"/>
      <w:rPr>
        <w:rFonts w:hint="default"/>
      </w:rPr>
    </w:lvl>
    <w:lvl w:ilvl="5" w:tentative="0">
      <w:start w:val="1"/>
      <w:numFmt w:val="decimal"/>
      <w:lvlText w:val="(%6)"/>
      <w:lvlJc w:val="left"/>
      <w:rPr>
        <w:rFonts w:hint="default"/>
      </w:rPr>
    </w:lvl>
    <w:lvl w:ilvl="6" w:tentative="0">
      <w:start w:val="1"/>
      <w:numFmt w:val="decimal"/>
      <w:lvlText w:val="%1.%2.%3.%4.%5.%6.%7"/>
      <w:lvlJc w:val="left"/>
      <w:rPr>
        <w:rFonts w:hint="default"/>
      </w:rPr>
    </w:lvl>
    <w:lvl w:ilvl="7" w:tentative="0">
      <w:start w:val="1"/>
      <w:numFmt w:val="decimal"/>
      <w:pStyle w:val="6"/>
      <w:lvlText w:val="%1.%2.%3.%4.%5.%6.%7.%8"/>
      <w:lvlJc w:val="left"/>
      <w:rPr>
        <w:rFonts w:hint="default"/>
      </w:rPr>
    </w:lvl>
    <w:lvl w:ilvl="8" w:tentative="0">
      <w:start w:val="1"/>
      <w:numFmt w:val="decimal"/>
      <w:lvlText w:val="%1.%2.%3.%4.%5.%6.%7.%8.%9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5YWU3ZGM5MGQxNjM0OTJmNGU0MWQ5NTUzYmEwNDQifQ=="/>
  </w:docVars>
  <w:rsids>
    <w:rsidRoot w:val="268B65B8"/>
    <w:rsid w:val="15391A5F"/>
    <w:rsid w:val="268B65B8"/>
    <w:rsid w:val="35065E35"/>
    <w:rsid w:val="35D65462"/>
    <w:rsid w:val="42EA4BD5"/>
    <w:rsid w:val="4AFE78C0"/>
    <w:rsid w:val="7414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unhideWhenUsed/>
    <w:qFormat/>
    <w:uiPriority w:val="9"/>
    <w:pPr>
      <w:pageBreakBefore w:val="0"/>
      <w:numPr>
        <w:ilvl w:val="0"/>
        <w:numId w:val="1"/>
      </w:numPr>
      <w:spacing w:before="100" w:beforeLines="100" w:after="50" w:afterLines="50" w:line="360" w:lineRule="auto"/>
      <w:ind w:firstLine="0" w:firstLineChars="0"/>
      <w:jc w:val="center"/>
      <w:outlineLvl w:val="0"/>
    </w:pPr>
    <w:rPr>
      <w:rFonts w:ascii="Times New Roman" w:hAnsi="Times New Roman" w:eastAsia="黑体" w:cs="Times New Roman"/>
      <w:b/>
      <w:sz w:val="32"/>
    </w:rPr>
  </w:style>
  <w:style w:type="paragraph" w:styleId="5">
    <w:name w:val="heading 2"/>
    <w:basedOn w:val="6"/>
    <w:next w:val="7"/>
    <w:unhideWhenUsed/>
    <w:qFormat/>
    <w:uiPriority w:val="0"/>
    <w:pPr>
      <w:numPr>
        <w:ilvl w:val="1"/>
        <w:numId w:val="1"/>
      </w:numPr>
      <w:spacing w:beforeLines="50" w:line="360" w:lineRule="auto"/>
      <w:ind w:left="0" w:firstLine="0"/>
      <w:outlineLvl w:val="1"/>
    </w:pPr>
    <w:rPr>
      <w:rFonts w:ascii="Times New Roman" w:hAnsi="Times New Roman" w:eastAsia="黑体" w:cs="Times New Roman"/>
      <w:kern w:val="2"/>
      <w:sz w:val="28"/>
      <w:szCs w:val="22"/>
      <w:lang w:val="en-US" w:eastAsia="zh-CN" w:bidi="ar-SA"/>
    </w:rPr>
  </w:style>
  <w:style w:type="paragraph" w:styleId="7">
    <w:name w:val="heading 3"/>
    <w:basedOn w:val="5"/>
    <w:next w:val="1"/>
    <w:unhideWhenUsed/>
    <w:qFormat/>
    <w:uiPriority w:val="9"/>
    <w:pPr>
      <w:numPr>
        <w:ilvl w:val="2"/>
        <w:numId w:val="1"/>
      </w:numPr>
      <w:spacing w:beforeLines="50" w:afterLines="50" w:line="360" w:lineRule="auto"/>
      <w:outlineLvl w:val="2"/>
    </w:pPr>
    <w:rPr>
      <w:rFonts w:ascii="Times New Roman" w:hAnsi="Times New Roman" w:eastAsia="黑体" w:cs="Times New Roman"/>
      <w:kern w:val="2"/>
      <w:sz w:val="24"/>
      <w:szCs w:val="22"/>
      <w:lang w:val="en-US" w:eastAsia="zh-CN" w:bidi="ar-SA"/>
    </w:rPr>
  </w:style>
  <w:style w:type="paragraph" w:styleId="6">
    <w:name w:val="heading 8"/>
    <w:next w:val="1"/>
    <w:unhideWhenUsed/>
    <w:qFormat/>
    <w:uiPriority w:val="1"/>
    <w:pPr>
      <w:numPr>
        <w:ilvl w:val="7"/>
        <w:numId w:val="1"/>
      </w:numPr>
      <w:spacing w:line="360" w:lineRule="auto"/>
      <w:ind w:left="0" w:firstLine="0"/>
      <w:outlineLvl w:val="7"/>
    </w:pPr>
    <w:rPr>
      <w:rFonts w:ascii="Times New Roman" w:hAnsi="Times New Roman" w:eastAsia="黑体" w:cs="Times New Roman"/>
      <w:b/>
      <w:kern w:val="2"/>
      <w:sz w:val="24"/>
      <w:szCs w:val="22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5（有编号）（绿盟科技）"/>
    <w:basedOn w:val="1"/>
    <w:next w:val="3"/>
    <w:qFormat/>
    <w:uiPriority w:val="0"/>
    <w:pPr>
      <w:keepNext/>
      <w:keepLines/>
      <w:numPr>
        <w:ilvl w:val="4"/>
        <w:numId w:val="2"/>
      </w:numPr>
      <w:spacing w:before="280" w:beforeLines="0" w:after="156" w:afterLines="0" w:line="377" w:lineRule="auto"/>
      <w:jc w:val="left"/>
      <w:outlineLvl w:val="4"/>
    </w:pPr>
    <w:rPr>
      <w:rFonts w:ascii="Arial" w:hAnsi="Arial" w:eastAsia="黑体"/>
      <w:b/>
      <w:kern w:val="0"/>
      <w:sz w:val="24"/>
      <w:szCs w:val="28"/>
    </w:rPr>
  </w:style>
  <w:style w:type="paragraph" w:customStyle="1" w:styleId="3">
    <w:name w:val="正文（绿盟科技）"/>
    <w:next w:val="1"/>
    <w:qFormat/>
    <w:uiPriority w:val="0"/>
    <w:pPr>
      <w:spacing w:line="300" w:lineRule="auto"/>
    </w:pPr>
    <w:rPr>
      <w:rFonts w:ascii="Arial" w:hAnsi="Arial" w:eastAsia="宋体" w:cs="Times New Roman"/>
      <w:kern w:val="0"/>
      <w:sz w:val="21"/>
      <w:szCs w:val="21"/>
      <w:lang w:val="en-US" w:eastAsia="zh-CN" w:bidi="ar-SA"/>
    </w:rPr>
  </w:style>
  <w:style w:type="paragraph" w:styleId="8">
    <w:name w:val="Body Text"/>
    <w:basedOn w:val="1"/>
    <w:next w:val="1"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11">
    <w:name w:val="List Paragraph"/>
    <w:basedOn w:val="1"/>
    <w:qFormat/>
    <w:uiPriority w:val="34"/>
    <w:pPr>
      <w:ind w:firstLine="420"/>
    </w:pPr>
  </w:style>
  <w:style w:type="paragraph" w:customStyle="1" w:styleId="12">
    <w:name w:val="A正文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2024-05-30T08:12:00Z</dcterms:created>
  <dc:creator>胖胖是只布偶猫</dc:creator>
  <cp:lastModifiedBy>胖胖是只布偶猫</cp:lastModifiedBy>
  <dcterms:modified xsi:type="dcterms:W3CDTF">2024-05-30T08:14:25Z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71AF43AEBDA84B83A911B5CAAE7B8165_13</vt:lpwstr>
  </property>
</Properties>
</file>