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bidi w:val="0"/>
        <w:ind w:leftChars="0"/>
        <w:jc w:val="left"/>
        <w:rPr>
          <w:rFonts w:hint="eastAsia"/>
          <w:b w:val="0"/>
          <w:bCs/>
          <w:sz w:val="32"/>
          <w:szCs w:val="32"/>
          <w:lang w:val="en-US" w:eastAsia="zh-CN"/>
        </w:rPr>
      </w:pPr>
      <w:r>
        <w:rPr>
          <w:rFonts w:hint="eastAsia"/>
          <w:b w:val="0"/>
          <w:bCs/>
          <w:sz w:val="32"/>
          <w:szCs w:val="32"/>
          <w:lang w:val="en-US" w:eastAsia="zh-CN"/>
        </w:rPr>
        <w:t xml:space="preserve">附件5 </w:t>
      </w:r>
    </w:p>
    <w:p>
      <w:pPr>
        <w:pStyle w:val="4"/>
        <w:numPr>
          <w:ilvl w:val="0"/>
          <w:numId w:val="0"/>
        </w:numPr>
        <w:bidi w:val="0"/>
        <w:ind w:leftChars="0"/>
        <w:jc w:val="center"/>
        <w:rPr>
          <w:rFonts w:hint="eastAsia"/>
          <w:b w:val="0"/>
          <w:bCs/>
          <w:sz w:val="32"/>
          <w:szCs w:val="32"/>
          <w:lang w:val="en-US" w:eastAsia="zh-CN"/>
        </w:rPr>
      </w:pPr>
      <w:bookmarkStart w:id="45" w:name="_GoBack"/>
      <w:r>
        <w:rPr>
          <w:rFonts w:hint="eastAsia" w:ascii="方正小标宋简体" w:hAnsi="方正小标宋简体" w:eastAsia="方正小标宋简体" w:cs="方正小标宋简体"/>
          <w:b w:val="0"/>
          <w:bCs/>
          <w:sz w:val="44"/>
          <w:szCs w:val="44"/>
          <w:lang w:val="en-US" w:eastAsia="zh-CN"/>
        </w:rPr>
        <w:t>混凝土检测技术要求</w:t>
      </w:r>
    </w:p>
    <w:p>
      <w:pPr>
        <w:pStyle w:val="4"/>
        <w:numPr>
          <w:ilvl w:val="0"/>
          <w:numId w:val="0"/>
        </w:numPr>
        <w:bidi w:val="0"/>
        <w:ind w:leftChars="0"/>
        <w:jc w:val="center"/>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跨线桥检测</w:t>
      </w:r>
    </w:p>
    <w:bookmarkEnd w:id="45"/>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依据《公路桥涵养护规范》（JTG 5120-2021），单孔跨径小于或等于150m的特大桥、大桥，以及高速公路或一、二级公路上的中桥、小桥，定期检测周期不得超过三年。</w:t>
      </w:r>
    </w:p>
    <w:p>
      <w:pPr>
        <w:pStyle w:val="10"/>
        <w:rPr>
          <w:rFonts w:hint="default"/>
          <w:lang w:val="en-US" w:eastAsia="zh-CN"/>
        </w:rPr>
      </w:pPr>
    </w:p>
    <w:p>
      <w:pPr>
        <w:pStyle w:val="4"/>
        <w:numPr>
          <w:ilvl w:val="0"/>
          <w:numId w:val="3"/>
        </w:numPr>
        <w:bidi w:val="0"/>
        <w:ind w:left="0" w:leftChars="0" w:firstLine="0" w:firstLineChars="0"/>
        <w:rPr>
          <w:b w:val="0"/>
          <w:bCs/>
        </w:rPr>
      </w:pPr>
      <w:r>
        <w:rPr>
          <w:rFonts w:hint="eastAsia"/>
          <w:b w:val="0"/>
          <w:bCs/>
          <w:lang w:val="en-US" w:eastAsia="zh-CN"/>
        </w:rPr>
        <w:t>检测目的</w:t>
      </w:r>
    </w:p>
    <w:p>
      <w:pPr>
        <w:pStyle w:val="16"/>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通过对桥梁的全面检测，达到下列目的：</w:t>
      </w:r>
    </w:p>
    <w:p>
      <w:pPr>
        <w:pStyle w:val="16"/>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1)建立和健全桥梁技术状况的相关档案。</w:t>
      </w:r>
    </w:p>
    <w:p>
      <w:pPr>
        <w:pStyle w:val="16"/>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2)通过对桥梁主体结构及其附属构造物病害和损伤全面细致和深入的检测，查明病害或潜在病害和损伤的部位、性质、严重程度及发展趋势，并通过桥梁技术状况的综合评定，确定桥梁的技术状况等级。</w:t>
      </w:r>
    </w:p>
    <w:p>
      <w:pPr>
        <w:pStyle w:val="16"/>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3)通过对桥梁技术状况的全面检测和评定，提出结构维修、加固技术建议，为桥梁维修加固提供技术依据。</w:t>
      </w:r>
    </w:p>
    <w:p>
      <w:pPr>
        <w:pStyle w:val="16"/>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4)对桥梁的基本数据进行校核，对于原设计图纸缺失的桥梁，还应开展结构尺寸及关键参数恢复工作，对数据有误或数据变更的项目提供相应的变更数据和补充数据，完善公路桥梁数据系统的管理。</w:t>
      </w:r>
    </w:p>
    <w:p>
      <w:pPr>
        <w:pStyle w:val="4"/>
        <w:numPr>
          <w:ilvl w:val="0"/>
          <w:numId w:val="3"/>
        </w:numPr>
        <w:bidi w:val="0"/>
        <w:ind w:left="0" w:leftChars="0" w:firstLine="0" w:firstLineChars="0"/>
        <w:rPr>
          <w:rFonts w:hint="eastAsia"/>
          <w:b w:val="0"/>
          <w:bCs/>
          <w:lang w:val="en-US" w:eastAsia="zh-CN"/>
        </w:rPr>
      </w:pPr>
      <w:r>
        <w:rPr>
          <w:rFonts w:hint="eastAsia"/>
          <w:b w:val="0"/>
          <w:bCs/>
          <w:lang w:val="en-US" w:eastAsia="zh-CN"/>
        </w:rPr>
        <w:t>检测依据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《公路桥涵养护规范》(JTG 5120-2021)</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《公路桥梁技术状况评定标准》(JTGTH21-2011)</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《公路桥梁承载能力检测评定规程》(JTG/T J21-2011)</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《在用公路桥梁现场检测技术规程》(JTG/T 5214-2022)</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《混凝土结构现场检测技术标准》(GB/T50784-2013)</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《混凝土中钢筋检测技术规程》(JGJ/T 152-2019)</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《工程测量标准》(GB 50026-2020)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《公路工程超声回弹综合法检测结构混凝土强度技术规程》(DB51/T 1996-2015)</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《回弹法检测混凝土抗压强度技术规程》(JGJ/T 23-2011)</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《超声法检测混凝土缺陷技术规程》(CECS 21-2000);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《公路工程质量检验评定标准 第一册 土建工程》(JTG F80/1-2017)</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《公路桥梁抗洪能力检测评定标准》(T/CECS G: F50-01-2023)</w:t>
      </w:r>
    </w:p>
    <w:p>
      <w:pPr>
        <w:pStyle w:val="4"/>
        <w:numPr>
          <w:ilvl w:val="0"/>
          <w:numId w:val="3"/>
        </w:numPr>
        <w:bidi w:val="0"/>
        <w:ind w:left="0" w:leftChars="0" w:firstLine="0" w:firstLineChars="0"/>
        <w:rPr>
          <w:rFonts w:hint="eastAsia"/>
          <w:b w:val="0"/>
          <w:bCs/>
          <w:lang w:val="en-US" w:eastAsia="zh-CN"/>
        </w:rPr>
      </w:pPr>
      <w:r>
        <w:rPr>
          <w:rFonts w:hint="eastAsia"/>
          <w:b w:val="0"/>
          <w:bCs/>
          <w:lang w:val="en-US" w:eastAsia="zh-CN"/>
        </w:rPr>
        <w:t>检测内容与方法</w:t>
      </w:r>
    </w:p>
    <w:p>
      <w:pPr>
        <w:pStyle w:val="5"/>
        <w:numPr>
          <w:ilvl w:val="1"/>
          <w:numId w:val="3"/>
        </w:numPr>
        <w:bidi w:val="0"/>
        <w:ind w:left="0" w:leftChars="0" w:firstLine="0" w:firstLineChars="0"/>
        <w:rPr>
          <w:rFonts w:hint="eastAsia" w:ascii="楷体" w:hAnsi="楷体" w:eastAsia="楷体" w:cs="楷体"/>
          <w:b w:val="0"/>
          <w:bCs/>
          <w:sz w:val="32"/>
          <w:szCs w:val="32"/>
        </w:rPr>
      </w:pPr>
      <w:r>
        <w:rPr>
          <w:rFonts w:hint="eastAsia" w:ascii="楷体" w:hAnsi="楷体" w:eastAsia="楷体" w:cs="楷体"/>
          <w:b w:val="0"/>
          <w:bCs/>
          <w:sz w:val="32"/>
          <w:szCs w:val="32"/>
        </w:rPr>
        <w:t>检测</w:t>
      </w:r>
      <w:r>
        <w:rPr>
          <w:rFonts w:hint="eastAsia" w:ascii="楷体" w:hAnsi="楷体" w:eastAsia="楷体" w:cs="楷体"/>
          <w:b w:val="0"/>
          <w:bCs/>
          <w:sz w:val="32"/>
          <w:szCs w:val="32"/>
          <w:lang w:val="en-US" w:eastAsia="zh-CN"/>
        </w:rPr>
        <w:t>内容</w:t>
      </w:r>
    </w:p>
    <w:p>
      <w:pPr>
        <w:pStyle w:val="7"/>
        <w:numPr>
          <w:ilvl w:val="2"/>
          <w:numId w:val="3"/>
        </w:numPr>
        <w:bidi w:val="0"/>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外观质量检测</w:t>
      </w:r>
    </w:p>
    <w:p>
      <w:pPr>
        <w:pStyle w:val="15"/>
        <w:numPr>
          <w:ilvl w:val="0"/>
          <w:numId w:val="4"/>
        </w:numPr>
        <w:spacing w:before="120" w:line="360" w:lineRule="auto"/>
        <w:ind w:left="900" w:firstLine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桥面系</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沥青混凝土桥面铺装层有无变形（车辙、拥包、高低不平）、泛油、破损、裂缝（龟裂、块裂、纵向裂缝、横向裂缝）。</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伸缩装置是否存在凹凸不平，锚固区缺陷，破损，失效等病害。</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栏杆、护栏是否存在撞坏、缺失，破损等。</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防排水系统是否存在排水不畅，泄水管、引水槽缺陷等。</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人行道块件有无破损，缺失等。</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照明、标志是否存在污损或损坏，照明设施缺失，标志脱落、缺失等。</w:t>
      </w:r>
    </w:p>
    <w:p>
      <w:pPr>
        <w:pStyle w:val="15"/>
        <w:numPr>
          <w:ilvl w:val="0"/>
          <w:numId w:val="4"/>
        </w:numPr>
        <w:spacing w:before="120" w:line="360" w:lineRule="auto"/>
        <w:ind w:left="900" w:firstLine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上部结构检测</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混凝土表面是否存在蜂窝、麻面现象，是否存在渗水、风化、盐析等。</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混凝土表面有无混凝土剥落、露筋现象，是否存在孔洞、空洞现象。</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各跨跨中挠度是否超过限值，是否影响承载能力和行车安全。</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结构横向联系构件是否存在松动，纵向接缝有无开裂，边梁有无外倾、失稳等现象。</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混凝土表面是否存在网状裂缝、横向裂缝、竖向裂缝、纵向裂缝、斜裂缝、水平裂缝，并对裂缝宽度、分布等关键性状指标进行记录，箱梁内是否积水，通风是否良好。</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预应力锚头和齿板有无开裂和裂缝，裂缝宽度超限，外露钢绞线有无断丝或失效，梁板有无由于预应力损耗造成的严重变形。</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板式橡胶支座是否存在老化、开裂，不均匀鼓凸与脱胶，剪切值是否大于限值，支座位置有无串动、脱空现象，支座底板有无变形、混凝土有无压裂。</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聚四氟乙烯滑板是否磨损。</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支座是否清洁，周围有无杂物堆积，防尘、防水装置是否完好，支座防腐是否有效。</w:t>
      </w:r>
    </w:p>
    <w:p>
      <w:pPr>
        <w:pStyle w:val="15"/>
        <w:keepNext w:val="0"/>
        <w:keepLines w:val="0"/>
        <w:pageBreakBefore w:val="0"/>
        <w:widowControl w:val="0"/>
        <w:numPr>
          <w:ilvl w:val="0"/>
          <w:numId w:val="4"/>
        </w:numPr>
        <w:kinsoku/>
        <w:wordWrap/>
        <w:overflowPunct/>
        <w:topLinePunct w:val="0"/>
        <w:autoSpaceDE/>
        <w:autoSpaceDN/>
        <w:bidi w:val="0"/>
        <w:adjustRightInd/>
        <w:snapToGrid/>
        <w:spacing w:before="120" w:line="360" w:lineRule="auto"/>
        <w:ind w:left="901" w:hanging="42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下部结构检测</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盖梁是否存在结构裂缝，盖梁有无混凝土是否有剥落、露筋、蜂窝、麻面、空洞、孔洞，裂缝处是否出现渗水、盐析。</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墩身是否存在结构性裂缝，变形，是否有混凝土剥落、露筋，蜂窝、麻面，空洞、孔洞，风化，渗水、腐蚀、耐久性病害等表观缺陷。</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混凝土桥台台身及帽梁有无冻胀、风化、腐蚀、开裂、剥落、露筋、空洞、孔洞等，台背填土有无沉降裂缝或挤压隆起，台背填土是否排水不畅，</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浆砌片石桥台前墙和侧墙开裂，裂缝较宽。重点检查石砌墩台有无开裂，砌块有无破损、松动、脱开、变形（灰缝脱落），砌体泄水孔是否堵塞，防水层是否破坏。</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墩台顶面是否清洁，有无积水、泥土、杂物堆积、滋生草木。</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基础是否存在冲刷或掏空现象，是否存在变形，开裂。</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翼（耳）墙是否存在裂缝、变形、鼓肚、砌体松动。</w:t>
      </w:r>
    </w:p>
    <w:p>
      <w:pPr>
        <w:spacing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锥（护）坡是否存在缺陷、冲刷、下沉现象。</w:t>
      </w:r>
    </w:p>
    <w:p>
      <w:pPr>
        <w:pStyle w:val="7"/>
        <w:numPr>
          <w:ilvl w:val="2"/>
          <w:numId w:val="3"/>
        </w:numPr>
        <w:bidi w:val="0"/>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无损检测</w:t>
      </w:r>
    </w:p>
    <w:p>
      <w:pPr>
        <w:spacing w:before="120" w:line="360" w:lineRule="auto"/>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本次无损检测内容主要包括</w:t>
      </w:r>
      <w:r>
        <w:rPr>
          <w:rFonts w:hint="eastAsia" w:ascii="仿宋_GB2312" w:hAnsi="仿宋_GB2312" w:eastAsia="仿宋_GB2312" w:cs="仿宋_GB2312"/>
          <w:bCs/>
          <w:sz w:val="32"/>
          <w:szCs w:val="32"/>
          <w:lang w:val="en-US" w:eastAsia="zh-CN"/>
        </w:rPr>
        <w:t>裂缝检测，</w:t>
      </w:r>
      <w:r>
        <w:rPr>
          <w:rFonts w:hint="eastAsia" w:ascii="仿宋_GB2312" w:hAnsi="仿宋_GB2312" w:eastAsia="仿宋_GB2312" w:cs="仿宋_GB2312"/>
          <w:bCs/>
          <w:sz w:val="32"/>
          <w:szCs w:val="32"/>
        </w:rPr>
        <w:t>混凝土强度检测，混凝土碳化深度检测，钢筋保护层厚度检测</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焊缝无损检测</w:t>
      </w:r>
      <w:r>
        <w:rPr>
          <w:rFonts w:hint="eastAsia" w:ascii="仿宋_GB2312" w:hAnsi="仿宋_GB2312" w:eastAsia="仿宋_GB2312" w:cs="仿宋_GB2312"/>
          <w:bCs/>
          <w:sz w:val="32"/>
          <w:szCs w:val="32"/>
          <w:lang w:val="en-US" w:eastAsia="zh-CN"/>
        </w:rPr>
        <w:t>和</w:t>
      </w:r>
      <w:r>
        <w:rPr>
          <w:rFonts w:hint="eastAsia" w:ascii="仿宋_GB2312" w:hAnsi="仿宋_GB2312" w:eastAsia="仿宋_GB2312" w:cs="仿宋_GB2312"/>
          <w:bCs/>
          <w:sz w:val="32"/>
          <w:szCs w:val="32"/>
        </w:rPr>
        <w:t>表面涂层厚度检测。</w:t>
      </w:r>
    </w:p>
    <w:p>
      <w:pPr>
        <w:pStyle w:val="5"/>
        <w:numPr>
          <w:ilvl w:val="1"/>
          <w:numId w:val="3"/>
        </w:numPr>
        <w:bidi w:val="0"/>
        <w:ind w:left="0" w:leftChars="0" w:firstLine="0" w:firstLineChars="0"/>
        <w:rPr>
          <w:rFonts w:hint="eastAsia" w:ascii="楷体" w:hAnsi="楷体" w:eastAsia="楷体" w:cs="楷体"/>
          <w:b w:val="0"/>
          <w:bCs/>
          <w:sz w:val="32"/>
          <w:szCs w:val="32"/>
        </w:rPr>
      </w:pPr>
      <w:bookmarkStart w:id="0" w:name="_Toc24369875"/>
      <w:bookmarkStart w:id="1" w:name="_Toc29305903"/>
      <w:r>
        <w:rPr>
          <w:rFonts w:hint="eastAsia" w:ascii="楷体" w:hAnsi="楷体" w:eastAsia="楷体" w:cs="楷体"/>
          <w:b w:val="0"/>
          <w:bCs/>
          <w:sz w:val="32"/>
          <w:szCs w:val="32"/>
        </w:rPr>
        <w:t>检测方法</w:t>
      </w:r>
      <w:bookmarkEnd w:id="0"/>
      <w:bookmarkEnd w:id="1"/>
    </w:p>
    <w:p>
      <w:pPr>
        <w:pStyle w:val="7"/>
        <w:numPr>
          <w:ilvl w:val="2"/>
          <w:numId w:val="3"/>
        </w:numPr>
        <w:bidi w:val="0"/>
        <w:ind w:left="0" w:leftChars="0" w:firstLine="0" w:firstLineChars="0"/>
        <w:rPr>
          <w:rFonts w:hint="eastAsia" w:ascii="仿宋_GB2312" w:hAnsi="仿宋_GB2312" w:eastAsia="仿宋_GB2312" w:cs="仿宋_GB2312"/>
          <w:sz w:val="32"/>
          <w:szCs w:val="32"/>
        </w:rPr>
      </w:pPr>
      <w:bookmarkStart w:id="2" w:name="_Toc394994694"/>
      <w:bookmarkStart w:id="3" w:name="_Toc24369876"/>
      <w:bookmarkStart w:id="4" w:name="_Toc428720664"/>
      <w:bookmarkStart w:id="5" w:name="_Toc29305904"/>
      <w:bookmarkStart w:id="6" w:name="_Toc401933331"/>
      <w:bookmarkStart w:id="7" w:name="_Toc428952576"/>
      <w:r>
        <w:rPr>
          <w:rFonts w:hint="eastAsia" w:ascii="仿宋_GB2312" w:hAnsi="仿宋_GB2312" w:eastAsia="仿宋_GB2312" w:cs="仿宋_GB2312"/>
          <w:sz w:val="32"/>
          <w:szCs w:val="32"/>
        </w:rPr>
        <w:t>桥梁外观检测</w:t>
      </w:r>
      <w:bookmarkEnd w:id="2"/>
      <w:bookmarkEnd w:id="3"/>
      <w:bookmarkEnd w:id="4"/>
      <w:bookmarkEnd w:id="5"/>
      <w:bookmarkEnd w:id="6"/>
      <w:bookmarkEnd w:id="7"/>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观检测工作按规范程序进行，并接近各部件仔细检测桥梁的缺损情况。在现场检测时，项目组通过桥梁检测车、搭设临时支架等手段进行检测。对于桥梁跨河，桥梁较高的情况，用桥梁检测车在桥面上作业，通过桥检车的折臂接近检测位置；对于非跨河跨，桥梁不是很高的情况，采用载人工作斗等设备从桥底下接近检测部位或采用搭设临时支架的手段接近检测部位。对于确实无法接近的部位，采用高倍望远镜或带摄像设备的无人飞行器进行检测。</w:t>
      </w: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桥梁检测中发现的各种缺损情况，现场用记号笔等将其范围标记清楚，同时采用影像记录。对于结构物裂缝的长度采用钢卷尺辅助测量，裂缝宽度采用裂缝观测仪观测。</w:t>
      </w:r>
    </w:p>
    <w:tbl>
      <w:tblPr>
        <w:tblStyle w:val="13"/>
        <w:tblW w:w="0" w:type="auto"/>
        <w:jc w:val="center"/>
        <w:tblLayout w:type="fixed"/>
        <w:tblCellMar>
          <w:top w:w="0" w:type="dxa"/>
          <w:left w:w="108" w:type="dxa"/>
          <w:bottom w:w="0" w:type="dxa"/>
          <w:right w:w="108" w:type="dxa"/>
        </w:tblCellMar>
      </w:tblPr>
      <w:tblGrid>
        <w:gridCol w:w="4786"/>
        <w:gridCol w:w="4784"/>
      </w:tblGrid>
      <w:tr>
        <w:tblPrEx>
          <w:tblCellMar>
            <w:top w:w="0" w:type="dxa"/>
            <w:left w:w="108" w:type="dxa"/>
            <w:bottom w:w="0" w:type="dxa"/>
            <w:right w:w="108" w:type="dxa"/>
          </w:tblCellMar>
        </w:tblPrEx>
        <w:trPr>
          <w:jc w:val="center"/>
        </w:trPr>
        <w:tc>
          <w:tcPr>
            <w:tcW w:w="9570" w:type="dxa"/>
            <w:gridSpan w:val="2"/>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2884805" cy="2162810"/>
                  <wp:effectExtent l="0" t="0" r="10795" b="8890"/>
                  <wp:docPr id="16" name="图片 15" descr="IMG_6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6993"/>
                          <pic:cNvPicPr>
                            <a:picLocks noChangeAspect="1"/>
                          </pic:cNvPicPr>
                        </pic:nvPicPr>
                        <pic:blipFill>
                          <a:blip r:embed="rId4"/>
                          <a:stretch>
                            <a:fillRect/>
                          </a:stretch>
                        </pic:blipFill>
                        <pic:spPr>
                          <a:xfrm>
                            <a:off x="0" y="0"/>
                            <a:ext cx="2884805" cy="2162810"/>
                          </a:xfrm>
                          <a:prstGeom prst="rect">
                            <a:avLst/>
                          </a:prstGeom>
                          <a:noFill/>
                          <a:ln>
                            <a:noFill/>
                          </a:ln>
                        </pic:spPr>
                      </pic:pic>
                    </a:graphicData>
                  </a:graphic>
                </wp:inline>
              </w:drawing>
            </w:r>
          </w:p>
        </w:tc>
      </w:tr>
      <w:tr>
        <w:tblPrEx>
          <w:tblCellMar>
            <w:top w:w="0" w:type="dxa"/>
            <w:left w:w="108" w:type="dxa"/>
            <w:bottom w:w="0" w:type="dxa"/>
            <w:right w:w="108" w:type="dxa"/>
          </w:tblCellMar>
        </w:tblPrEx>
        <w:trPr>
          <w:jc w:val="center"/>
        </w:trPr>
        <w:tc>
          <w:tcPr>
            <w:tcW w:w="9570" w:type="dxa"/>
            <w:gridSpan w:val="2"/>
            <w:noWrap w:val="0"/>
            <w:vAlign w:val="center"/>
          </w:tcPr>
          <w:p>
            <w:pPr>
              <w:pStyle w:val="17"/>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图</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STYLEREF 2 \s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SEQ 图 \* ARABIC \s 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rPr>
              <w:t>高倍望远镜对无法到位检测部位进行检测</w:t>
            </w:r>
          </w:p>
        </w:tc>
      </w:tr>
      <w:tr>
        <w:tblPrEx>
          <w:tblCellMar>
            <w:top w:w="0" w:type="dxa"/>
            <w:left w:w="108" w:type="dxa"/>
            <w:bottom w:w="0" w:type="dxa"/>
            <w:right w:w="108" w:type="dxa"/>
          </w:tblCellMar>
        </w:tblPrEx>
        <w:trPr>
          <w:jc w:val="center"/>
        </w:trPr>
        <w:tc>
          <w:tcPr>
            <w:tcW w:w="4786"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1161415</wp:posOffset>
                      </wp:positionH>
                      <wp:positionV relativeFrom="paragraph">
                        <wp:posOffset>500380</wp:posOffset>
                      </wp:positionV>
                      <wp:extent cx="629285" cy="353695"/>
                      <wp:effectExtent l="4445" t="4445" r="13970" b="22860"/>
                      <wp:wrapNone/>
                      <wp:docPr id="31" name="椭圆 31"/>
                      <wp:cNvGraphicFramePr/>
                      <a:graphic xmlns:a="http://schemas.openxmlformats.org/drawingml/2006/main">
                        <a:graphicData uri="http://schemas.microsoft.com/office/word/2010/wordprocessingShape">
                          <wps:wsp>
                            <wps:cNvSpPr>
                              <a:spLocks noChangeArrowheads="1"/>
                            </wps:cNvSpPr>
                            <wps:spPr bwMode="auto">
                              <a:xfrm>
                                <a:off x="0" y="0"/>
                                <a:ext cx="629285" cy="353695"/>
                              </a:xfrm>
                              <a:prstGeom prst="ellipse">
                                <a:avLst/>
                              </a:prstGeom>
                              <a:noFill/>
                              <a:ln w="9525">
                                <a:solidFill>
                                  <a:srgbClr val="FF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91.45pt;margin-top:39.4pt;height:27.85pt;width:49.55pt;z-index:251659264;mso-width-relative:page;mso-height-relative:page;" filled="f" stroked="t" coordsize="21600,21600" o:gfxdata="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4Dx2QAAAAoBAAAPAAAAAAAAAAEAIAAAACIAAABkcnMvZG93bnJldi54&#10;bWxQSwECFAAUAAAACACHTuJA+Wsc5zICAABLBAAADgAAAAAAAAABACAAAAAoAQAAZHJzL2Uyb0Rv&#10;Yy54bWxQSwUGAAAAAAYABgBZAQAAzAUAAAAA&#10;">
                      <v:path/>
                      <v:fill on="f" focussize="0,0"/>
                      <v:stroke color="#FF0000" joinstyle="round"/>
                      <v:imagedata o:title=""/>
                      <o:lock v:ext="edit" aspectratio="f"/>
                    </v:shape>
                  </w:pict>
                </mc:Fallback>
              </mc:AlternateContent>
            </w:r>
            <w:r>
              <w:rPr>
                <w:rFonts w:hint="eastAsia" w:ascii="仿宋_GB2312" w:hAnsi="仿宋_GB2312" w:eastAsia="仿宋_GB2312" w:cs="仿宋_GB2312"/>
                <w:sz w:val="32"/>
                <w:szCs w:val="32"/>
              </w:rPr>
              <w:drawing>
                <wp:inline distT="0" distB="0" distL="114300" distR="114300">
                  <wp:extent cx="2875915" cy="2162810"/>
                  <wp:effectExtent l="0" t="0" r="635" b="8890"/>
                  <wp:docPr id="21" name="图片 16" descr="IMG_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descr="IMG_3691"/>
                          <pic:cNvPicPr>
                            <a:picLocks noChangeAspect="1"/>
                          </pic:cNvPicPr>
                        </pic:nvPicPr>
                        <pic:blipFill>
                          <a:blip r:embed="rId5"/>
                          <a:stretch>
                            <a:fillRect/>
                          </a:stretch>
                        </pic:blipFill>
                        <pic:spPr>
                          <a:xfrm>
                            <a:off x="0" y="0"/>
                            <a:ext cx="2875915" cy="2162810"/>
                          </a:xfrm>
                          <a:prstGeom prst="rect">
                            <a:avLst/>
                          </a:prstGeom>
                          <a:noFill/>
                          <a:ln>
                            <a:noFill/>
                          </a:ln>
                        </pic:spPr>
                      </pic:pic>
                    </a:graphicData>
                  </a:graphic>
                </wp:inline>
              </w:drawing>
            </w:r>
          </w:p>
        </w:tc>
        <w:tc>
          <w:tcPr>
            <w:tcW w:w="4784"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drawing>
                <wp:inline distT="0" distB="0" distL="114300" distR="114300">
                  <wp:extent cx="2884805" cy="2162810"/>
                  <wp:effectExtent l="0" t="0" r="10795" b="8890"/>
                  <wp:docPr id="19" name="图片 17" descr="IMG_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IMG_6990"/>
                          <pic:cNvPicPr>
                            <a:picLocks noChangeAspect="1"/>
                          </pic:cNvPicPr>
                        </pic:nvPicPr>
                        <pic:blipFill>
                          <a:blip r:embed="rId6"/>
                          <a:stretch>
                            <a:fillRect/>
                          </a:stretch>
                        </pic:blipFill>
                        <pic:spPr>
                          <a:xfrm>
                            <a:off x="0" y="0"/>
                            <a:ext cx="2884805" cy="2162810"/>
                          </a:xfrm>
                          <a:prstGeom prst="rect">
                            <a:avLst/>
                          </a:prstGeom>
                          <a:noFill/>
                          <a:ln>
                            <a:noFill/>
                          </a:ln>
                        </pic:spPr>
                      </pic:pic>
                    </a:graphicData>
                  </a:graphic>
                </wp:inline>
              </w:drawing>
            </w:r>
          </w:p>
        </w:tc>
      </w:tr>
      <w:tr>
        <w:tblPrEx>
          <w:tblCellMar>
            <w:top w:w="0" w:type="dxa"/>
            <w:left w:w="108" w:type="dxa"/>
            <w:bottom w:w="0" w:type="dxa"/>
            <w:right w:w="108" w:type="dxa"/>
          </w:tblCellMar>
        </w:tblPrEx>
        <w:trPr>
          <w:jc w:val="center"/>
        </w:trPr>
        <w:tc>
          <w:tcPr>
            <w:tcW w:w="9570" w:type="dxa"/>
            <w:gridSpan w:val="2"/>
            <w:noWrap w:val="0"/>
            <w:vAlign w:val="center"/>
          </w:tcPr>
          <w:p>
            <w:pPr>
              <w:pStyle w:val="17"/>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图</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STYLEREF 2 \s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SEQ 图 \* ARABIC \s 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rPr>
              <w:t>采用遥控飞机进行检测</w:t>
            </w:r>
          </w:p>
        </w:tc>
      </w:tr>
      <w:tr>
        <w:tblPrEx>
          <w:tblCellMar>
            <w:top w:w="0" w:type="dxa"/>
            <w:left w:w="108" w:type="dxa"/>
            <w:bottom w:w="0" w:type="dxa"/>
            <w:right w:w="108" w:type="dxa"/>
          </w:tblCellMar>
        </w:tblPrEx>
        <w:trPr>
          <w:jc w:val="center"/>
        </w:trPr>
        <w:tc>
          <w:tcPr>
            <w:tcW w:w="4786"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2875915" cy="2162810"/>
                  <wp:effectExtent l="0" t="0" r="635" b="8890"/>
                  <wp:docPr id="18" name="图片 18" descr="ef660f03b53c7cf105e46e3d81736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f660f03b53c7cf105e46e3d817365f"/>
                          <pic:cNvPicPr>
                            <a:picLocks noChangeAspect="1"/>
                          </pic:cNvPicPr>
                        </pic:nvPicPr>
                        <pic:blipFill>
                          <a:blip r:embed="rId7"/>
                          <a:stretch>
                            <a:fillRect/>
                          </a:stretch>
                        </pic:blipFill>
                        <pic:spPr>
                          <a:xfrm>
                            <a:off x="0" y="0"/>
                            <a:ext cx="2875915" cy="2162810"/>
                          </a:xfrm>
                          <a:prstGeom prst="rect">
                            <a:avLst/>
                          </a:prstGeom>
                          <a:noFill/>
                          <a:ln>
                            <a:noFill/>
                          </a:ln>
                        </pic:spPr>
                      </pic:pic>
                    </a:graphicData>
                  </a:graphic>
                </wp:inline>
              </w:drawing>
            </w:r>
          </w:p>
        </w:tc>
        <w:tc>
          <w:tcPr>
            <w:tcW w:w="4784"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2884805" cy="2162175"/>
                  <wp:effectExtent l="0" t="0" r="10795" b="9525"/>
                  <wp:docPr id="22" name="图片 19" descr="cb37da65f6caa76bd881415e8c814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9" descr="cb37da65f6caa76bd881415e8c8144b"/>
                          <pic:cNvPicPr>
                            <a:picLocks noChangeAspect="1"/>
                          </pic:cNvPicPr>
                        </pic:nvPicPr>
                        <pic:blipFill>
                          <a:blip r:embed="rId8"/>
                          <a:stretch>
                            <a:fillRect/>
                          </a:stretch>
                        </pic:blipFill>
                        <pic:spPr>
                          <a:xfrm>
                            <a:off x="0" y="0"/>
                            <a:ext cx="2884805" cy="2162175"/>
                          </a:xfrm>
                          <a:prstGeom prst="rect">
                            <a:avLst/>
                          </a:prstGeom>
                          <a:noFill/>
                          <a:ln>
                            <a:noFill/>
                          </a:ln>
                        </pic:spPr>
                      </pic:pic>
                    </a:graphicData>
                  </a:graphic>
                </wp:inline>
              </w:drawing>
            </w:r>
          </w:p>
        </w:tc>
      </w:tr>
      <w:tr>
        <w:tblPrEx>
          <w:tblCellMar>
            <w:top w:w="0" w:type="dxa"/>
            <w:left w:w="108" w:type="dxa"/>
            <w:bottom w:w="0" w:type="dxa"/>
            <w:right w:w="108" w:type="dxa"/>
          </w:tblCellMar>
        </w:tblPrEx>
        <w:trPr>
          <w:jc w:val="center"/>
        </w:trPr>
        <w:tc>
          <w:tcPr>
            <w:tcW w:w="9570" w:type="dxa"/>
            <w:gridSpan w:val="2"/>
            <w:noWrap w:val="0"/>
            <w:vAlign w:val="center"/>
          </w:tcPr>
          <w:p>
            <w:pPr>
              <w:pStyle w:val="17"/>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图</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STYLEREF 2 \s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SEQ 图 \* ARABIC \s 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rPr>
              <w:t>桥梁检测车辅助检测</w:t>
            </w:r>
          </w:p>
        </w:tc>
      </w:tr>
    </w:tbl>
    <w:p>
      <w:pPr>
        <w:pStyle w:val="7"/>
        <w:numPr>
          <w:ilvl w:val="2"/>
          <w:numId w:val="3"/>
        </w:numPr>
        <w:bidi w:val="0"/>
        <w:ind w:left="0" w:leftChars="0" w:firstLine="0" w:firstLineChars="0"/>
        <w:rPr>
          <w:rFonts w:hint="eastAsia" w:ascii="仿宋_GB2312" w:hAnsi="仿宋_GB2312" w:eastAsia="仿宋_GB2312" w:cs="仿宋_GB2312"/>
          <w:sz w:val="32"/>
          <w:szCs w:val="32"/>
        </w:rPr>
      </w:pPr>
      <w:bookmarkStart w:id="8" w:name="_Toc428720666"/>
      <w:bookmarkStart w:id="9" w:name="_Toc401933333"/>
      <w:bookmarkStart w:id="10" w:name="_Toc394994696"/>
      <w:bookmarkStart w:id="11" w:name="_Toc29305905"/>
      <w:bookmarkStart w:id="12" w:name="_Toc428952578"/>
      <w:bookmarkStart w:id="13" w:name="_Toc24369878"/>
      <w:r>
        <w:rPr>
          <w:rFonts w:hint="eastAsia" w:ascii="仿宋_GB2312" w:hAnsi="仿宋_GB2312" w:eastAsia="仿宋_GB2312" w:cs="仿宋_GB2312"/>
          <w:sz w:val="32"/>
          <w:szCs w:val="32"/>
        </w:rPr>
        <w:t>桥梁结构无损检测</w:t>
      </w:r>
      <w:bookmarkEnd w:id="8"/>
      <w:bookmarkEnd w:id="9"/>
      <w:bookmarkEnd w:id="10"/>
      <w:bookmarkEnd w:id="11"/>
      <w:bookmarkEnd w:id="12"/>
      <w:bookmarkEnd w:id="13"/>
    </w:p>
    <w:p>
      <w:pPr>
        <w:pStyle w:val="8"/>
        <w:numPr>
          <w:ilvl w:val="3"/>
          <w:numId w:val="3"/>
        </w:numPr>
        <w:bidi w:val="0"/>
        <w:ind w:left="0" w:leftChars="0" w:firstLine="0" w:firstLineChars="0"/>
        <w:rPr>
          <w:rFonts w:hint="eastAsia" w:ascii="仿宋_GB2312" w:hAnsi="仿宋_GB2312" w:eastAsia="仿宋_GB2312" w:cs="仿宋_GB2312"/>
          <w:sz w:val="32"/>
          <w:szCs w:val="32"/>
        </w:rPr>
      </w:pPr>
      <w:bookmarkStart w:id="14" w:name="_Toc34401688"/>
      <w:bookmarkStart w:id="15" w:name="_Toc44232459"/>
      <w:r>
        <w:rPr>
          <w:rFonts w:hint="eastAsia" w:ascii="仿宋_GB2312" w:hAnsi="仿宋_GB2312" w:eastAsia="仿宋_GB2312" w:cs="仿宋_GB2312"/>
          <w:sz w:val="32"/>
          <w:szCs w:val="32"/>
        </w:rPr>
        <w:t>裂缝检测</w:t>
      </w:r>
      <w:bookmarkEnd w:id="14"/>
      <w:bookmarkEnd w:id="15"/>
    </w:p>
    <w:p>
      <w:pPr>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表观检测是为了从总体上全面了解桥梁的损伤、病害等情况。主要采用人工目测和卷尺、直尺等一般常规工具进行。对结构及其附属设施的所有构件或部位进行系统的检查，记录所有缺损的部位、范围和程度。</w:t>
      </w:r>
    </w:p>
    <w:p>
      <w:pPr>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1、裂缝分布检查</w:t>
      </w:r>
    </w:p>
    <w:p>
      <w:pPr>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通过现场对裂缝位置及走向的检测，绘制裂缝展开图，通过裂缝的分布情况及裂缝的发展情况，分析裂缝的类型及产生的原因。检测裂缝位置、延伸长度及走向的工具主要为钢卷尺或钢直尺等。</w:t>
      </w:r>
    </w:p>
    <w:p>
      <w:pPr>
        <w:ind w:firstLine="48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object>
          <v:shape id="_x0000_i1044" o:spt="75" type="#_x0000_t75" style="height:152.15pt;width:279.85pt;" o:ole="t" filled="f" o:preferrelative="t" stroked="f" coordsize="21600,21600">
            <v:path/>
            <v:fill on="f" focussize="0,0"/>
            <v:stroke on="f"/>
            <v:imagedata r:id="rId10" o:title=""/>
            <o:lock v:ext="edit" aspectratio="t"/>
            <w10:wrap type="none"/>
            <w10:anchorlock/>
          </v:shape>
          <o:OLEObject Type="Embed" ProgID="Visio.Drawing.11" ShapeID="_x0000_i1044" DrawAspect="Content" ObjectID="_1468075725" r:id="rId9">
            <o:LockedField>false</o:LockedField>
          </o:OLEObject>
        </w:object>
      </w:r>
    </w:p>
    <w:p>
      <w:pPr>
        <w:pStyle w:val="17"/>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STYLEREF 2 \s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SEQ 图 \* ARABIC \s 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裂缝检测工艺框图</w:t>
      </w:r>
    </w:p>
    <w:p>
      <w:pPr>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2、裂缝宽度检测</w:t>
      </w:r>
    </w:p>
    <w:p>
      <w:pPr>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混凝土结构的裂缝宽度是在混凝土表面量测的、与裂缝方向垂直的宽度。测量混凝土的裂缝宽度用裂缝观测仪、裂缝刻度尺等。</w:t>
      </w:r>
    </w:p>
    <w:tbl>
      <w:tblPr>
        <w:tblStyle w:val="13"/>
        <w:tblW w:w="0" w:type="auto"/>
        <w:jc w:val="center"/>
        <w:tblLayout w:type="fixed"/>
        <w:tblCellMar>
          <w:top w:w="0" w:type="dxa"/>
          <w:left w:w="108" w:type="dxa"/>
          <w:bottom w:w="0" w:type="dxa"/>
          <w:right w:w="108" w:type="dxa"/>
        </w:tblCellMar>
      </w:tblPr>
      <w:tblGrid>
        <w:gridCol w:w="5726"/>
        <w:gridCol w:w="2976"/>
      </w:tblGrid>
      <w:tr>
        <w:tblPrEx>
          <w:tblCellMar>
            <w:top w:w="0" w:type="dxa"/>
            <w:left w:w="108" w:type="dxa"/>
            <w:bottom w:w="0" w:type="dxa"/>
            <w:right w:w="108" w:type="dxa"/>
          </w:tblCellMar>
        </w:tblPrEx>
        <w:trPr>
          <w:trHeight w:val="510" w:hRule="atLeast"/>
          <w:jc w:val="center"/>
        </w:trPr>
        <w:tc>
          <w:tcPr>
            <w:tcW w:w="5726" w:type="dxa"/>
            <w:noWrap w:val="0"/>
            <w:vAlign w:val="center"/>
          </w:tcPr>
          <w:p>
            <w:pPr>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inline distT="0" distB="0" distL="114300" distR="114300">
                  <wp:extent cx="1562100" cy="1276350"/>
                  <wp:effectExtent l="0" t="0" r="0" b="0"/>
                  <wp:docPr id="1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pic:cNvPicPr>
                            <a:picLocks noChangeAspect="1"/>
                          </pic:cNvPicPr>
                        </pic:nvPicPr>
                        <pic:blipFill>
                          <a:blip r:embed="rId11"/>
                          <a:stretch>
                            <a:fillRect/>
                          </a:stretch>
                        </pic:blipFill>
                        <pic:spPr>
                          <a:xfrm>
                            <a:off x="0" y="0"/>
                            <a:ext cx="1562100" cy="1276350"/>
                          </a:xfrm>
                          <a:prstGeom prst="rect">
                            <a:avLst/>
                          </a:prstGeom>
                          <a:noFill/>
                          <a:ln>
                            <a:noFill/>
                          </a:ln>
                        </pic:spPr>
                      </pic:pic>
                    </a:graphicData>
                  </a:graphic>
                </wp:inline>
              </w:drawing>
            </w:r>
            <w:r>
              <w:rPr>
                <w:rFonts w:hint="eastAsia" w:ascii="仿宋_GB2312" w:hAnsi="仿宋_GB2312" w:eastAsia="仿宋_GB2312" w:cs="仿宋_GB2312"/>
                <w:color w:val="000000"/>
                <w:sz w:val="32"/>
                <w:szCs w:val="32"/>
              </w:rPr>
              <w:drawing>
                <wp:inline distT="0" distB="0" distL="114300" distR="114300">
                  <wp:extent cx="1752600" cy="1344295"/>
                  <wp:effectExtent l="0" t="0" r="0" b="8255"/>
                  <wp:docPr id="2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2"/>
                          <pic:cNvPicPr>
                            <a:picLocks noChangeAspect="1"/>
                          </pic:cNvPicPr>
                        </pic:nvPicPr>
                        <pic:blipFill>
                          <a:blip r:embed="rId12"/>
                          <a:stretch>
                            <a:fillRect/>
                          </a:stretch>
                        </pic:blipFill>
                        <pic:spPr>
                          <a:xfrm>
                            <a:off x="0" y="0"/>
                            <a:ext cx="1752600" cy="1344295"/>
                          </a:xfrm>
                          <a:prstGeom prst="rect">
                            <a:avLst/>
                          </a:prstGeom>
                          <a:noFill/>
                          <a:ln>
                            <a:noFill/>
                          </a:ln>
                        </pic:spPr>
                      </pic:pic>
                    </a:graphicData>
                  </a:graphic>
                </wp:inline>
              </w:drawing>
            </w:r>
          </w:p>
        </w:tc>
        <w:tc>
          <w:tcPr>
            <w:tcW w:w="2976" w:type="dxa"/>
            <w:noWrap w:val="0"/>
            <w:vAlign w:val="center"/>
          </w:tcPr>
          <w:p>
            <w:pPr>
              <w:ind w:firstLine="0" w:firstLineChar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仪器型号：北京智博联ZBL-F103</w:t>
            </w:r>
          </w:p>
          <w:p>
            <w:pPr>
              <w:ind w:firstLine="0" w:firstLineChar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量程：0～6mm</w:t>
            </w:r>
          </w:p>
          <w:p>
            <w:pPr>
              <w:ind w:firstLine="0" w:firstLineChar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分辨力：±0.01mm</w:t>
            </w:r>
          </w:p>
        </w:tc>
      </w:tr>
      <w:tr>
        <w:tblPrEx>
          <w:tblCellMar>
            <w:top w:w="0" w:type="dxa"/>
            <w:left w:w="108" w:type="dxa"/>
            <w:bottom w:w="0" w:type="dxa"/>
            <w:right w:w="108" w:type="dxa"/>
          </w:tblCellMar>
        </w:tblPrEx>
        <w:trPr>
          <w:trHeight w:val="510" w:hRule="atLeast"/>
          <w:jc w:val="center"/>
        </w:trPr>
        <w:tc>
          <w:tcPr>
            <w:tcW w:w="8702" w:type="dxa"/>
            <w:gridSpan w:val="2"/>
            <w:noWrap w:val="0"/>
            <w:vAlign w:val="center"/>
          </w:tcPr>
          <w:p>
            <w:pPr>
              <w:pStyle w:val="1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STYLEREF 2 \s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SEQ 图 \* ARABIC \s 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裂缝测宽仪</w:t>
            </w:r>
          </w:p>
        </w:tc>
      </w:tr>
    </w:tbl>
    <w:p>
      <w:pPr>
        <w:pStyle w:val="8"/>
        <w:numPr>
          <w:ilvl w:val="3"/>
          <w:numId w:val="3"/>
        </w:numPr>
        <w:bidi w:val="0"/>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混凝土强度检测</w:t>
      </w: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度检测采用回弹仪，测量时，将弹击杆顶住混凝土的表面，轻压仪器，松开按钮，弹击杆徐徐伸出，使仪器对混凝土表面缓慢均匀施压，待弹击锤脱钩冲击弹击杆后即回弹，带动指针向后移动并停留在某一位置上，即为回弹值。继续顶住混凝土表面并在读取和记录回弹值后，逐渐对仪器减压，使弹击杆自仪器内伸出，重复进行上述操作，即可测得被测构件或结构的回弹值。操作中注意仪器的轴线应始终垂直于混凝土构件的检测面，缓慢施压，准确读数，快速复位。</w:t>
      </w:r>
    </w:p>
    <w:tbl>
      <w:tblPr>
        <w:tblStyle w:val="13"/>
        <w:tblW w:w="0" w:type="auto"/>
        <w:jc w:val="center"/>
        <w:tblLayout w:type="fixed"/>
        <w:tblCellMar>
          <w:top w:w="0" w:type="dxa"/>
          <w:left w:w="108" w:type="dxa"/>
          <w:bottom w:w="0" w:type="dxa"/>
          <w:right w:w="108" w:type="dxa"/>
        </w:tblCellMar>
      </w:tblPr>
      <w:tblGrid>
        <w:gridCol w:w="4785"/>
        <w:gridCol w:w="3545"/>
      </w:tblGrid>
      <w:tr>
        <w:tblPrEx>
          <w:tblCellMar>
            <w:top w:w="0" w:type="dxa"/>
            <w:left w:w="108" w:type="dxa"/>
            <w:bottom w:w="0" w:type="dxa"/>
            <w:right w:w="108" w:type="dxa"/>
          </w:tblCellMar>
        </w:tblPrEx>
        <w:trPr>
          <w:jc w:val="center"/>
        </w:trPr>
        <w:tc>
          <w:tcPr>
            <w:tcW w:w="4785" w:type="dxa"/>
            <w:noWrap w:val="0"/>
            <w:vAlign w:val="top"/>
          </w:tcPr>
          <w:p>
            <w:pPr>
              <w:spacing w:line="33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2877185" cy="2153285"/>
                  <wp:effectExtent l="0" t="0" r="18415" b="18415"/>
                  <wp:docPr id="23" name="图片 23" descr="CIMG9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IMG9113"/>
                          <pic:cNvPicPr>
                            <a:picLocks noChangeAspect="1"/>
                          </pic:cNvPicPr>
                        </pic:nvPicPr>
                        <pic:blipFill>
                          <a:blip r:embed="rId13"/>
                          <a:stretch>
                            <a:fillRect/>
                          </a:stretch>
                        </pic:blipFill>
                        <pic:spPr>
                          <a:xfrm>
                            <a:off x="0" y="0"/>
                            <a:ext cx="2877185" cy="2153285"/>
                          </a:xfrm>
                          <a:prstGeom prst="rect">
                            <a:avLst/>
                          </a:prstGeom>
                          <a:noFill/>
                          <a:ln>
                            <a:noFill/>
                          </a:ln>
                        </pic:spPr>
                      </pic:pic>
                    </a:graphicData>
                  </a:graphic>
                </wp:inline>
              </w:drawing>
            </w:r>
          </w:p>
        </w:tc>
        <w:tc>
          <w:tcPr>
            <w:tcW w:w="3545" w:type="dxa"/>
            <w:noWrap w:val="0"/>
            <w:vAlign w:val="center"/>
          </w:tcPr>
          <w:p>
            <w:pPr>
              <w:spacing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仪器型号：山东ZC3-A</w:t>
            </w:r>
          </w:p>
          <w:p>
            <w:pPr>
              <w:spacing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量程：100</w:t>
            </w:r>
          </w:p>
          <w:p>
            <w:pPr>
              <w:spacing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分辨力：0.5</w:t>
            </w:r>
          </w:p>
        </w:tc>
      </w:tr>
      <w:tr>
        <w:tblPrEx>
          <w:tblCellMar>
            <w:top w:w="0" w:type="dxa"/>
            <w:left w:w="108" w:type="dxa"/>
            <w:bottom w:w="0" w:type="dxa"/>
            <w:right w:w="108" w:type="dxa"/>
          </w:tblCellMar>
        </w:tblPrEx>
        <w:trPr>
          <w:jc w:val="center"/>
        </w:trPr>
        <w:tc>
          <w:tcPr>
            <w:tcW w:w="8330" w:type="dxa"/>
            <w:gridSpan w:val="2"/>
            <w:noWrap w:val="0"/>
            <w:vAlign w:val="top"/>
          </w:tcPr>
          <w:p>
            <w:pPr>
              <w:pStyle w:val="17"/>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图</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STYLEREF 2 \s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SEQ 图 \* ARABIC \s 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rPr>
              <w:t>回弹仪</w:t>
            </w:r>
          </w:p>
        </w:tc>
      </w:tr>
    </w:tbl>
    <w:p>
      <w:pPr>
        <w:spacing w:line="360" w:lineRule="auto"/>
        <w:ind w:firstLine="582" w:firstLineChars="1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计算测区回弹值时，应从该测区的16个回弹值中剔除3个最大值和3个最小值，余下的10个回弹值取平均值。</w:t>
      </w:r>
    </w:p>
    <w:p>
      <w:pPr>
        <w:pStyle w:val="8"/>
        <w:numPr>
          <w:ilvl w:val="3"/>
          <w:numId w:val="3"/>
        </w:numPr>
        <w:bidi w:val="0"/>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混凝土强碳化深度检测</w:t>
      </w: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测试试剂：酚酞试剂；</w:t>
      </w: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测试原理：混凝土为弱碱性材料，对钢筋抗锈蚀有保护作用；受环境影响，混凝土碳化后失去碱性。酚酞试剂在碱性环境下为红色，用来进行砼碳化深度检测，掌握材料的退化程度。</w:t>
      </w: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方法：回弹值测量完毕后，在有代表性的位置上测量碳化深度值，测点数不少于构件测区数的30％。具体步骤为：采用75％的酒精与白色酚酞末制成浓度为1％～2％的酚酞指示剂；采用适当的工具在测区表面形成直径约15mm的孔洞，其深度应大于混凝土碳化深度；测空成孔后，应用圆刷或皮老虎吹净洞中的碎屑与粉末，不得水洗；将酚酞指示剂喷到测孔壁上，待混凝土新茬变色后，已碳化和未碳化界线清晰时，用混凝土碳化深度仪测量已碳化界面到混凝土表面的垂直距离；每处碳化深度测点读数精确至0.5mm，测量不少于3次，取其平均值作为该测点的混凝土碳化深度值；当各测点的碳化深度测值极差大于2.0mm时，预示该构件的混凝土强度可能不均匀，因此应在每一回弹测区测量混凝土碳化深度值。</w:t>
      </w:r>
    </w:p>
    <w:tbl>
      <w:tblPr>
        <w:tblStyle w:val="13"/>
        <w:tblW w:w="0" w:type="auto"/>
        <w:jc w:val="center"/>
        <w:tblLayout w:type="fixed"/>
        <w:tblCellMar>
          <w:top w:w="0" w:type="dxa"/>
          <w:left w:w="108" w:type="dxa"/>
          <w:bottom w:w="0" w:type="dxa"/>
          <w:right w:w="108" w:type="dxa"/>
        </w:tblCellMar>
      </w:tblPr>
      <w:tblGrid>
        <w:gridCol w:w="4785"/>
        <w:gridCol w:w="3545"/>
      </w:tblGrid>
      <w:tr>
        <w:tblPrEx>
          <w:tblCellMar>
            <w:top w:w="0" w:type="dxa"/>
            <w:left w:w="108" w:type="dxa"/>
            <w:bottom w:w="0" w:type="dxa"/>
            <w:right w:w="108" w:type="dxa"/>
          </w:tblCellMar>
        </w:tblPrEx>
        <w:trPr>
          <w:jc w:val="center"/>
        </w:trPr>
        <w:tc>
          <w:tcPr>
            <w:tcW w:w="4785" w:type="dxa"/>
            <w:noWrap w:val="0"/>
            <w:vAlign w:val="top"/>
          </w:tcPr>
          <w:p>
            <w:pPr>
              <w:pStyle w:val="17"/>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drawing>
                <wp:inline distT="0" distB="0" distL="114300" distR="114300">
                  <wp:extent cx="2499360" cy="1877695"/>
                  <wp:effectExtent l="0" t="0" r="15240" b="8255"/>
                  <wp:docPr id="15" name="图片 24" descr="说明: DSCN2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4" descr="说明: DSCN2916"/>
                          <pic:cNvPicPr>
                            <a:picLocks noChangeAspect="1"/>
                          </pic:cNvPicPr>
                        </pic:nvPicPr>
                        <pic:blipFill>
                          <a:blip r:embed="rId14"/>
                          <a:stretch>
                            <a:fillRect/>
                          </a:stretch>
                        </pic:blipFill>
                        <pic:spPr>
                          <a:xfrm>
                            <a:off x="0" y="0"/>
                            <a:ext cx="2499360" cy="1877695"/>
                          </a:xfrm>
                          <a:prstGeom prst="rect">
                            <a:avLst/>
                          </a:prstGeom>
                          <a:noFill/>
                          <a:ln>
                            <a:noFill/>
                          </a:ln>
                        </pic:spPr>
                      </pic:pic>
                    </a:graphicData>
                  </a:graphic>
                </wp:inline>
              </w:drawing>
            </w:r>
          </w:p>
        </w:tc>
        <w:tc>
          <w:tcPr>
            <w:tcW w:w="3545" w:type="dxa"/>
            <w:noWrap w:val="0"/>
            <w:vAlign w:val="center"/>
          </w:tcPr>
          <w:p>
            <w:pPr>
              <w:pStyle w:val="17"/>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仪器型号：碳化深度测试装置（0～8mm）</w:t>
            </w:r>
          </w:p>
          <w:p>
            <w:pPr>
              <w:pStyle w:val="17"/>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量程：0～8mm</w:t>
            </w:r>
          </w:p>
          <w:p>
            <w:pPr>
              <w:pStyle w:val="17"/>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分辨力：0.25mm</w:t>
            </w:r>
          </w:p>
        </w:tc>
      </w:tr>
      <w:tr>
        <w:tblPrEx>
          <w:tblCellMar>
            <w:top w:w="0" w:type="dxa"/>
            <w:left w:w="108" w:type="dxa"/>
            <w:bottom w:w="0" w:type="dxa"/>
            <w:right w:w="108" w:type="dxa"/>
          </w:tblCellMar>
        </w:tblPrEx>
        <w:trPr>
          <w:jc w:val="center"/>
        </w:trPr>
        <w:tc>
          <w:tcPr>
            <w:tcW w:w="8330" w:type="dxa"/>
            <w:gridSpan w:val="2"/>
            <w:noWrap w:val="0"/>
            <w:vAlign w:val="top"/>
          </w:tcPr>
          <w:p>
            <w:pPr>
              <w:pStyle w:val="17"/>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图</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STYLEREF 2 \s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SEQ 图 \* ARABIC \s 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rPr>
              <w:t>混凝碳化深度测试仪</w:t>
            </w:r>
          </w:p>
        </w:tc>
      </w:tr>
    </w:tbl>
    <w:p>
      <w:pPr>
        <w:pStyle w:val="8"/>
        <w:numPr>
          <w:ilvl w:val="3"/>
          <w:numId w:val="3"/>
        </w:numPr>
        <w:bidi w:val="0"/>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钢筋保护层厚度检测</w:t>
      </w: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测试仪器：钢筋定位、保护层厚度测试仪；</w:t>
      </w: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测试内容：钢筋混凝土结构钢筋分布、混凝土保护层厚度；</w:t>
      </w: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原理：该方法原理为电磁感应原理(涡电流原理)，将载有交流支线圈探头置于金属材料附近，使得金属导体在其交换磁场部分，感应产生无数涡流状的涡电流，由涡电流变换产生的信号，便可以测定构件的物理性质。</w:t>
      </w: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检测方法：当桥梁外观检测中发现桥梁主要受力构件存在以下情况：</w:t>
      </w: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（1）已进行过混凝土碳化深度专门测量的部位；</w:t>
      </w: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（2）钢筋锈蚀电位测量结果表明钢筋可能锈蚀活化的部位；</w:t>
      </w:r>
    </w:p>
    <w:p>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需要检测的部位，根据实际需要可对部分结构构件进行钢筋位置及钢筋保护层厚度检测。测量时将钢筋保护层厚度仪的探头平行于待测钢筋并沿构件横向移动，可以读取各根主筋的保护层厚度，并同时基本确认主筋数量和间距。一般选择每跨总梁(板)数的10％构件进行检测，且每构件检测断面数不少于3个。对每一测点读取三次稳定读数，准确至1mm，取其平均值。对每一构件的检测断面，给出各根钢筋保护层厚度的实测值、平均值以及保护层厚度合格率。</w:t>
      </w:r>
    </w:p>
    <w:tbl>
      <w:tblPr>
        <w:tblStyle w:val="13"/>
        <w:tblW w:w="0" w:type="auto"/>
        <w:jc w:val="center"/>
        <w:tblLayout w:type="fixed"/>
        <w:tblCellMar>
          <w:top w:w="0" w:type="dxa"/>
          <w:left w:w="108" w:type="dxa"/>
          <w:bottom w:w="0" w:type="dxa"/>
          <w:right w:w="108" w:type="dxa"/>
        </w:tblCellMar>
      </w:tblPr>
      <w:tblGrid>
        <w:gridCol w:w="4785"/>
        <w:gridCol w:w="3545"/>
      </w:tblGrid>
      <w:tr>
        <w:tblPrEx>
          <w:tblCellMar>
            <w:top w:w="0" w:type="dxa"/>
            <w:left w:w="108" w:type="dxa"/>
            <w:bottom w:w="0" w:type="dxa"/>
            <w:right w:w="108" w:type="dxa"/>
          </w:tblCellMar>
        </w:tblPrEx>
        <w:trPr>
          <w:jc w:val="center"/>
        </w:trPr>
        <w:tc>
          <w:tcPr>
            <w:tcW w:w="4785" w:type="dxa"/>
            <w:noWrap w:val="0"/>
            <w:vAlign w:val="top"/>
          </w:tcPr>
          <w:p>
            <w:pPr>
              <w:pStyle w:val="19"/>
              <w:bidi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object>
                <v:shape id="_x0000_i1049" o:spt="75" type="#_x0000_t75" style="height:152.8pt;width:208.3pt;" o:ole="t" filled="f" o:preferrelative="t" stroked="f" coordsize="21600,21600">
                  <v:path/>
                  <v:fill on="f" focussize="0,0"/>
                  <v:stroke on="f"/>
                  <v:imagedata r:id="rId16" cropright="1055f" o:title=""/>
                  <o:lock v:ext="edit" aspectratio="t"/>
                  <w10:wrap type="none"/>
                  <w10:anchorlock/>
                </v:shape>
                <o:OLEObject Type="Embed" ProgID="Picture.PicObj.1" ShapeID="_x0000_i1049" DrawAspect="Content" ObjectID="_1468075726" r:id="rId15">
                  <o:LockedField>false</o:LockedField>
                </o:OLEObject>
              </w:object>
            </w:r>
          </w:p>
        </w:tc>
        <w:tc>
          <w:tcPr>
            <w:tcW w:w="3545" w:type="dxa"/>
            <w:noWrap w:val="0"/>
            <w:vAlign w:val="center"/>
          </w:tcPr>
          <w:p>
            <w:pPr>
              <w:pStyle w:val="19"/>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仪器型号：北京智博联ZBL-R800</w:t>
            </w:r>
          </w:p>
          <w:p>
            <w:pPr>
              <w:pStyle w:val="19"/>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量程：3～196mm</w:t>
            </w:r>
          </w:p>
          <w:p>
            <w:pPr>
              <w:pStyle w:val="19"/>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分辨力：1mm</w:t>
            </w:r>
          </w:p>
        </w:tc>
      </w:tr>
      <w:tr>
        <w:tblPrEx>
          <w:tblCellMar>
            <w:top w:w="0" w:type="dxa"/>
            <w:left w:w="108" w:type="dxa"/>
            <w:bottom w:w="0" w:type="dxa"/>
            <w:right w:w="108" w:type="dxa"/>
          </w:tblCellMar>
        </w:tblPrEx>
        <w:trPr>
          <w:jc w:val="center"/>
        </w:trPr>
        <w:tc>
          <w:tcPr>
            <w:tcW w:w="8330" w:type="dxa"/>
            <w:gridSpan w:val="2"/>
            <w:noWrap w:val="0"/>
            <w:vAlign w:val="top"/>
          </w:tcPr>
          <w:p>
            <w:pPr>
              <w:pStyle w:val="20"/>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STYLEREF 2 \s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SEQ 图 \* ARABIC \s 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钢筋定位、保护层厚度测试仪</w:t>
            </w:r>
          </w:p>
        </w:tc>
      </w:tr>
    </w:tbl>
    <w:p>
      <w:pPr>
        <w:pStyle w:val="5"/>
        <w:numPr>
          <w:ilvl w:val="1"/>
          <w:numId w:val="3"/>
        </w:numPr>
        <w:bidi w:val="0"/>
        <w:ind w:left="0" w:leftChars="0" w:firstLine="0" w:firstLineChars="0"/>
        <w:rPr>
          <w:rFonts w:hint="eastAsia" w:ascii="楷体" w:hAnsi="楷体" w:eastAsia="楷体" w:cs="楷体"/>
          <w:b w:val="0"/>
          <w:bCs/>
          <w:sz w:val="32"/>
          <w:szCs w:val="32"/>
        </w:rPr>
      </w:pPr>
      <w:r>
        <w:rPr>
          <w:rFonts w:hint="eastAsia" w:ascii="楷体" w:hAnsi="楷体" w:eastAsia="楷体" w:cs="楷体"/>
          <w:b w:val="0"/>
          <w:bCs/>
          <w:sz w:val="32"/>
          <w:szCs w:val="32"/>
        </w:rPr>
        <w:t>检测结果的评定</w:t>
      </w:r>
    </w:p>
    <w:p>
      <w:pPr>
        <w:spacing w:before="120"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按照</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公路桥梁技术状况评定标准》(JTG/T H21-2011)，对所有桥梁的所有构件和部件到位进行定期检查，并进行桥梁总体技术状况评定。</w:t>
      </w:r>
      <w:r>
        <w:rPr>
          <w:rFonts w:hint="eastAsia" w:ascii="仿宋_GB2312" w:hAnsi="仿宋_GB2312" w:eastAsia="仿宋_GB2312" w:cs="仿宋_GB2312"/>
          <w:sz w:val="32"/>
          <w:szCs w:val="32"/>
        </w:rPr>
        <w:t>《公路桥梁技术状况评定标准》(JTG/H21-2011)中有关桥梁技术状况评定的要点如下：</w:t>
      </w:r>
    </w:p>
    <w:p>
      <w:pPr>
        <w:ind w:left="480"/>
        <w:rPr>
          <w:rFonts w:hint="eastAsia" w:ascii="仿宋_GB2312" w:hAnsi="仿宋_GB2312" w:eastAsia="仿宋_GB2312" w:cs="仿宋_GB2312"/>
          <w:sz w:val="32"/>
          <w:szCs w:val="32"/>
        </w:rPr>
      </w:pPr>
      <w:bookmarkStart w:id="16" w:name="_Toc480535887"/>
      <w:bookmarkStart w:id="17" w:name="_Toc480558352"/>
      <w:bookmarkStart w:id="18" w:name="_Toc413329431"/>
      <w:bookmarkStart w:id="19" w:name="_Toc461028993"/>
      <w:bookmarkStart w:id="20" w:name="_Toc466399428"/>
      <w:bookmarkStart w:id="21" w:name="_Toc462869128"/>
      <w:bookmarkStart w:id="22" w:name="_Toc461387400"/>
      <w:bookmarkStart w:id="23" w:name="_Toc482906254"/>
      <w:r>
        <w:rPr>
          <w:rFonts w:hint="eastAsia" w:ascii="仿宋_GB2312" w:hAnsi="仿宋_GB2312" w:eastAsia="仿宋_GB2312" w:cs="仿宋_GB2312"/>
          <w:sz w:val="32"/>
          <w:szCs w:val="32"/>
        </w:rPr>
        <w:t>1）评定方法</w:t>
      </w:r>
      <w:bookmarkEnd w:id="16"/>
      <w:bookmarkEnd w:id="17"/>
      <w:bookmarkEnd w:id="18"/>
      <w:bookmarkEnd w:id="19"/>
      <w:bookmarkEnd w:id="20"/>
      <w:bookmarkEnd w:id="21"/>
      <w:bookmarkEnd w:id="22"/>
      <w:bookmarkEnd w:id="23"/>
    </w:p>
    <w:p>
      <w:pPr>
        <w:pStyle w:val="21"/>
        <w:spacing w:before="120"/>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《公路桥梁技术状况评定标准》(JTG/T H21-2011)规定，桥梁技术状况评定采用分层综合评定与5类桥梁单项控制指标相结合的方法，先对桥梁各构件进行评定，然后对桥梁各部件进行评定，再对桥面系、上部结构和下部结构分别进行评定，最后进行桥梁总体技术状况的评定。桥梁检查评定记录表可按《公路桥梁技术状况评定标准》（JTG/T H21-2011）附录A的要求执行。评定指标见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REF _Ref422238164 \h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图</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STYLEREF 2 \s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pStyle w:val="22"/>
        <w:spacing w:before="120"/>
        <w:ind w:firstLine="480"/>
      </w:pPr>
      <w:r>
        <w:object>
          <v:shape id="_x0000_i1050" o:spt="75" type="#_x0000_t75" style="height:144pt;width:438.15pt;" o:ole="t" filled="f" o:preferrelative="t" stroked="f" coordsize="21600,21600">
            <v:path/>
            <v:fill on="f" focussize="0,0"/>
            <v:stroke on="f"/>
            <v:imagedata r:id="rId18" o:title=""/>
            <o:lock v:ext="edit" aspectratio="t"/>
            <w10:wrap type="none"/>
            <w10:anchorlock/>
          </v:shape>
          <o:OLEObject Type="Embed" ProgID="Visio.Drawing.11" ShapeID="_x0000_i1050" DrawAspect="Content" ObjectID="_1468075727" r:id="rId17">
            <o:LockedField>false</o:LockedField>
          </o:OLEObject>
        </w:object>
      </w:r>
      <w:bookmarkStart w:id="24" w:name="_Ref422238164"/>
      <w:r>
        <w:t>图</w:t>
      </w:r>
      <w:r>
        <w:fldChar w:fldCharType="begin"/>
      </w:r>
      <w:r>
        <w:instrText xml:space="preserve"> STYLEREF 2 \s </w:instrText>
      </w:r>
      <w:r>
        <w:fldChar w:fldCharType="separate"/>
      </w:r>
      <w:r>
        <w:t>4.3</w:t>
      </w:r>
      <w:r>
        <w:fldChar w:fldCharType="end"/>
      </w:r>
      <w:r>
        <w:t>.</w:t>
      </w:r>
      <w:r>
        <w:fldChar w:fldCharType="begin"/>
      </w:r>
      <w:r>
        <w:instrText xml:space="preserve"> SEQ 图 \* ARABIC \s 2 </w:instrText>
      </w:r>
      <w:r>
        <w:fldChar w:fldCharType="separate"/>
      </w:r>
      <w:r>
        <w:t>1</w:t>
      </w:r>
      <w:r>
        <w:fldChar w:fldCharType="end"/>
      </w:r>
      <w:bookmarkEnd w:id="24"/>
      <w:r>
        <w:t>桥梁技术状况评定指标</w:t>
      </w:r>
    </w:p>
    <w:p>
      <w:pPr>
        <w:widowControl/>
        <w:spacing w:before="120" w:beforeLines="50" w:line="360" w:lineRule="auto"/>
        <w:ind w:firstLine="482"/>
        <w:rPr>
          <w:rFonts w:hint="eastAsia" w:ascii="仿宋_GB2312" w:hAnsi="仿宋_GB2312" w:eastAsia="仿宋_GB2312" w:cs="仿宋_GB2312"/>
          <w:sz w:val="32"/>
          <w:szCs w:val="32"/>
        </w:rPr>
      </w:pPr>
      <w:bookmarkStart w:id="25" w:name="_Toc462869129"/>
      <w:bookmarkStart w:id="26" w:name="_Toc482906255"/>
      <w:bookmarkStart w:id="27" w:name="_Toc461387401"/>
      <w:bookmarkStart w:id="28" w:name="_Toc480558353"/>
      <w:bookmarkStart w:id="29" w:name="_Toc480535888"/>
      <w:bookmarkStart w:id="30" w:name="_Toc466399429"/>
      <w:bookmarkStart w:id="31" w:name="_Toc413329432"/>
      <w:bookmarkStart w:id="32" w:name="_Toc461028994"/>
      <w:r>
        <w:rPr>
          <w:rFonts w:hint="eastAsia" w:ascii="仿宋_GB2312" w:hAnsi="仿宋_GB2312" w:eastAsia="仿宋_GB2312" w:cs="仿宋_GB2312"/>
          <w:sz w:val="32"/>
          <w:szCs w:val="32"/>
        </w:rPr>
        <w:t>2）桥梁技术状况等级分类</w:t>
      </w:r>
      <w:bookmarkEnd w:id="25"/>
      <w:bookmarkEnd w:id="26"/>
      <w:bookmarkEnd w:id="27"/>
      <w:bookmarkEnd w:id="28"/>
      <w:bookmarkEnd w:id="29"/>
      <w:bookmarkEnd w:id="30"/>
      <w:bookmarkEnd w:id="31"/>
      <w:bookmarkEnd w:id="32"/>
    </w:p>
    <w:p>
      <w:pPr>
        <w:spacing w:line="360" w:lineRule="auto"/>
        <w:ind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根据《公路桥梁技术状况评定标准》（JTG/T H21-2011）规定桥梁部件分为主要部件和次要部件。</w:t>
      </w:r>
    </w:p>
    <w:p>
      <w:pPr>
        <w:widowControl/>
        <w:spacing w:line="360" w:lineRule="auto"/>
        <w:ind w:firstLine="48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各结构类型桥梁主要部件见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REF _Ref422238220 \h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STYLEREF 2 \s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0"/>
          <w:sz w:val="32"/>
          <w:szCs w:val="32"/>
        </w:rPr>
        <w:t>，次要部件为桥梁非主要部件及桥梁附属设施。</w:t>
      </w:r>
    </w:p>
    <w:p>
      <w:pPr>
        <w:pStyle w:val="17"/>
      </w:pPr>
      <w:bookmarkStart w:id="33" w:name="_Ref422238220"/>
      <w:r>
        <w:t>表</w:t>
      </w:r>
      <w:r>
        <w:fldChar w:fldCharType="begin"/>
      </w:r>
      <w:r>
        <w:instrText xml:space="preserve"> STYLEREF 2 \s </w:instrText>
      </w:r>
      <w:r>
        <w:fldChar w:fldCharType="separate"/>
      </w:r>
      <w:r>
        <w:t>4.3</w:t>
      </w:r>
      <w:r>
        <w:fldChar w:fldCharType="end"/>
      </w:r>
      <w:r>
        <w:t>.</w:t>
      </w:r>
      <w:r>
        <w:fldChar w:fldCharType="begin"/>
      </w:r>
      <w:r>
        <w:instrText xml:space="preserve"> SEQ 表 \* ARABIC \s 2 </w:instrText>
      </w:r>
      <w:r>
        <w:fldChar w:fldCharType="separate"/>
      </w:r>
      <w:r>
        <w:t>1</w:t>
      </w:r>
      <w:r>
        <w:fldChar w:fldCharType="end"/>
      </w:r>
      <w:bookmarkEnd w:id="33"/>
      <w:r>
        <w:t>各结构类型桥梁主要部件</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126"/>
        <w:gridCol w:w="725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126" w:type="dxa"/>
            <w:noWrap w:val="0"/>
            <w:vAlign w:val="center"/>
          </w:tcPr>
          <w:p>
            <w:pPr>
              <w:pStyle w:val="2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结构类型</w:t>
            </w:r>
          </w:p>
        </w:tc>
        <w:tc>
          <w:tcPr>
            <w:tcW w:w="7255" w:type="dxa"/>
            <w:noWrap w:val="0"/>
            <w:vAlign w:val="center"/>
          </w:tcPr>
          <w:p>
            <w:pPr>
              <w:pStyle w:val="2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主要部件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126" w:type="dxa"/>
            <w:noWrap w:val="0"/>
            <w:vAlign w:val="center"/>
          </w:tcPr>
          <w:p>
            <w:pPr>
              <w:pStyle w:val="2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梁式桥</w:t>
            </w:r>
          </w:p>
        </w:tc>
        <w:tc>
          <w:tcPr>
            <w:tcW w:w="7255" w:type="dxa"/>
            <w:noWrap w:val="0"/>
            <w:vAlign w:val="center"/>
          </w:tcPr>
          <w:p>
            <w:pPr>
              <w:pStyle w:val="2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上部承重构件、桥墩、桥台、基础、支座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126" w:type="dxa"/>
            <w:noWrap w:val="0"/>
            <w:vAlign w:val="center"/>
          </w:tcPr>
          <w:p>
            <w:pPr>
              <w:pStyle w:val="2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拱桥</w:t>
            </w:r>
          </w:p>
        </w:tc>
        <w:tc>
          <w:tcPr>
            <w:tcW w:w="7255" w:type="dxa"/>
            <w:noWrap w:val="0"/>
            <w:vAlign w:val="center"/>
          </w:tcPr>
          <w:p>
            <w:pPr>
              <w:pStyle w:val="2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上部结构（主拱圈或刚架拱片或拱肋等）、下部结构、桥面系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126" w:type="dxa"/>
            <w:noWrap w:val="0"/>
            <w:vAlign w:val="center"/>
          </w:tcPr>
          <w:p>
            <w:pPr>
              <w:pStyle w:val="2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斜拉桥</w:t>
            </w:r>
          </w:p>
        </w:tc>
        <w:tc>
          <w:tcPr>
            <w:tcW w:w="7255" w:type="dxa"/>
            <w:noWrap w:val="0"/>
            <w:vAlign w:val="center"/>
          </w:tcPr>
          <w:p>
            <w:pPr>
              <w:pStyle w:val="2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上部结构（斜拉索系统、主梁、索塔、支座）、下部结构、桥面系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126" w:type="dxa"/>
            <w:noWrap w:val="0"/>
            <w:vAlign w:val="center"/>
          </w:tcPr>
          <w:p>
            <w:pPr>
              <w:pStyle w:val="2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悬索桥</w:t>
            </w:r>
          </w:p>
        </w:tc>
        <w:tc>
          <w:tcPr>
            <w:tcW w:w="7255" w:type="dxa"/>
            <w:noWrap w:val="0"/>
            <w:vAlign w:val="center"/>
          </w:tcPr>
          <w:p>
            <w:pPr>
              <w:pStyle w:val="2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主缆、吊索、加劲梁、索塔、锚锭、桥墩、桥台、基础、支座</w:t>
            </w:r>
          </w:p>
        </w:tc>
      </w:tr>
    </w:tbl>
    <w:p>
      <w:pPr>
        <w:pStyle w:val="17"/>
        <w:pageBreakBefore/>
      </w:pPr>
      <w:r>
        <w:t>表</w:t>
      </w:r>
      <w:r>
        <w:fldChar w:fldCharType="begin"/>
      </w:r>
      <w:r>
        <w:instrText xml:space="preserve"> STYLEREF 2 \s </w:instrText>
      </w:r>
      <w:r>
        <w:fldChar w:fldCharType="separate"/>
      </w:r>
      <w:r>
        <w:t>4.3</w:t>
      </w:r>
      <w:r>
        <w:fldChar w:fldCharType="end"/>
      </w:r>
      <w:r>
        <w:t>.</w:t>
      </w:r>
      <w:r>
        <w:fldChar w:fldCharType="begin"/>
      </w:r>
      <w:r>
        <w:instrText xml:space="preserve"> SEQ 表 \* ARABIC \s 2 </w:instrText>
      </w:r>
      <w:r>
        <w:fldChar w:fldCharType="separate"/>
      </w:r>
      <w:r>
        <w:t>2</w:t>
      </w:r>
      <w:r>
        <w:fldChar w:fldCharType="end"/>
      </w:r>
      <w:r>
        <w:t>桥梁总体技术状况评定等级</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12"/>
        <w:gridCol w:w="822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12" w:type="dxa"/>
            <w:noWrap w:val="0"/>
            <w:vAlign w:val="center"/>
          </w:tcPr>
          <w:p>
            <w:pPr>
              <w:pStyle w:val="20"/>
              <w:rPr>
                <w:rFonts w:cs="宋体"/>
                <w:kern w:val="2"/>
                <w:sz w:val="21"/>
                <w:szCs w:val="21"/>
              </w:rPr>
            </w:pPr>
            <w:r>
              <w:rPr>
                <w:rFonts w:cs="宋体"/>
                <w:kern w:val="2"/>
                <w:sz w:val="21"/>
                <w:szCs w:val="21"/>
              </w:rPr>
              <w:t>技术状况评定等级</w:t>
            </w:r>
          </w:p>
        </w:tc>
        <w:tc>
          <w:tcPr>
            <w:tcW w:w="8221" w:type="dxa"/>
            <w:noWrap w:val="0"/>
            <w:vAlign w:val="center"/>
          </w:tcPr>
          <w:p>
            <w:pPr>
              <w:pStyle w:val="20"/>
              <w:rPr>
                <w:rFonts w:cs="宋体"/>
                <w:kern w:val="2"/>
                <w:sz w:val="21"/>
                <w:szCs w:val="21"/>
              </w:rPr>
            </w:pPr>
            <w:r>
              <w:rPr>
                <w:rFonts w:cs="宋体"/>
                <w:kern w:val="2"/>
                <w:sz w:val="21"/>
                <w:szCs w:val="21"/>
              </w:rPr>
              <w:t>桥梁技术状况描述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12" w:type="dxa"/>
            <w:noWrap w:val="0"/>
            <w:vAlign w:val="center"/>
          </w:tcPr>
          <w:p>
            <w:pPr>
              <w:pStyle w:val="20"/>
              <w:rPr>
                <w:rFonts w:cs="宋体"/>
                <w:kern w:val="2"/>
                <w:sz w:val="21"/>
                <w:szCs w:val="21"/>
              </w:rPr>
            </w:pPr>
            <w:r>
              <w:rPr>
                <w:rFonts w:cs="宋体"/>
                <w:kern w:val="2"/>
                <w:sz w:val="21"/>
                <w:szCs w:val="21"/>
              </w:rPr>
              <w:t>1类</w:t>
            </w:r>
          </w:p>
        </w:tc>
        <w:tc>
          <w:tcPr>
            <w:tcW w:w="8221" w:type="dxa"/>
            <w:noWrap w:val="0"/>
            <w:vAlign w:val="center"/>
          </w:tcPr>
          <w:p>
            <w:pPr>
              <w:pStyle w:val="20"/>
              <w:rPr>
                <w:rFonts w:cs="宋体"/>
                <w:kern w:val="2"/>
                <w:sz w:val="21"/>
                <w:szCs w:val="21"/>
              </w:rPr>
            </w:pPr>
            <w:r>
              <w:rPr>
                <w:rFonts w:cs="宋体"/>
                <w:kern w:val="2"/>
                <w:sz w:val="21"/>
                <w:szCs w:val="21"/>
              </w:rPr>
              <w:t>全新状态、功能完好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12" w:type="dxa"/>
            <w:noWrap w:val="0"/>
            <w:vAlign w:val="center"/>
          </w:tcPr>
          <w:p>
            <w:pPr>
              <w:pStyle w:val="20"/>
              <w:rPr>
                <w:rFonts w:cs="宋体"/>
                <w:kern w:val="2"/>
                <w:sz w:val="21"/>
                <w:szCs w:val="21"/>
              </w:rPr>
            </w:pPr>
            <w:r>
              <w:rPr>
                <w:rFonts w:cs="宋体"/>
                <w:kern w:val="2"/>
                <w:sz w:val="21"/>
                <w:szCs w:val="21"/>
              </w:rPr>
              <w:t>2类</w:t>
            </w:r>
          </w:p>
        </w:tc>
        <w:tc>
          <w:tcPr>
            <w:tcW w:w="8221" w:type="dxa"/>
            <w:noWrap w:val="0"/>
            <w:vAlign w:val="center"/>
          </w:tcPr>
          <w:p>
            <w:pPr>
              <w:pStyle w:val="20"/>
              <w:rPr>
                <w:rFonts w:cs="宋体"/>
                <w:kern w:val="2"/>
                <w:sz w:val="21"/>
                <w:szCs w:val="21"/>
              </w:rPr>
            </w:pPr>
            <w:r>
              <w:rPr>
                <w:rFonts w:cs="宋体"/>
                <w:kern w:val="2"/>
                <w:sz w:val="21"/>
                <w:szCs w:val="21"/>
              </w:rPr>
              <w:t>有轻微缺损，对桥梁使用功能无影响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12" w:type="dxa"/>
            <w:noWrap w:val="0"/>
            <w:vAlign w:val="center"/>
          </w:tcPr>
          <w:p>
            <w:pPr>
              <w:pStyle w:val="20"/>
              <w:rPr>
                <w:rFonts w:cs="宋体"/>
                <w:kern w:val="2"/>
                <w:sz w:val="21"/>
                <w:szCs w:val="21"/>
              </w:rPr>
            </w:pPr>
            <w:r>
              <w:rPr>
                <w:rFonts w:cs="宋体"/>
                <w:kern w:val="2"/>
                <w:sz w:val="21"/>
                <w:szCs w:val="21"/>
              </w:rPr>
              <w:t>3类</w:t>
            </w:r>
          </w:p>
        </w:tc>
        <w:tc>
          <w:tcPr>
            <w:tcW w:w="8221" w:type="dxa"/>
            <w:noWrap w:val="0"/>
            <w:vAlign w:val="center"/>
          </w:tcPr>
          <w:p>
            <w:pPr>
              <w:pStyle w:val="20"/>
              <w:rPr>
                <w:rFonts w:cs="宋体"/>
                <w:kern w:val="2"/>
                <w:sz w:val="21"/>
                <w:szCs w:val="21"/>
              </w:rPr>
            </w:pPr>
            <w:r>
              <w:rPr>
                <w:rFonts w:cs="宋体"/>
                <w:kern w:val="2"/>
                <w:sz w:val="21"/>
                <w:szCs w:val="21"/>
              </w:rPr>
              <w:t>有中等缺损，尚能维持正常使用功能，缺损恶化会发展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12" w:type="dxa"/>
            <w:noWrap w:val="0"/>
            <w:vAlign w:val="center"/>
          </w:tcPr>
          <w:p>
            <w:pPr>
              <w:pStyle w:val="20"/>
              <w:rPr>
                <w:rFonts w:cs="宋体"/>
                <w:kern w:val="2"/>
                <w:sz w:val="21"/>
                <w:szCs w:val="21"/>
              </w:rPr>
            </w:pPr>
            <w:r>
              <w:rPr>
                <w:rFonts w:cs="宋体"/>
                <w:kern w:val="2"/>
                <w:sz w:val="21"/>
                <w:szCs w:val="21"/>
              </w:rPr>
              <w:t>4类</w:t>
            </w:r>
          </w:p>
        </w:tc>
        <w:tc>
          <w:tcPr>
            <w:tcW w:w="8221" w:type="dxa"/>
            <w:noWrap w:val="0"/>
            <w:vAlign w:val="center"/>
          </w:tcPr>
          <w:p>
            <w:pPr>
              <w:pStyle w:val="20"/>
              <w:rPr>
                <w:rFonts w:cs="宋体"/>
                <w:kern w:val="2"/>
                <w:sz w:val="21"/>
                <w:szCs w:val="21"/>
              </w:rPr>
            </w:pPr>
            <w:r>
              <w:rPr>
                <w:rFonts w:cs="宋体"/>
                <w:kern w:val="2"/>
                <w:sz w:val="21"/>
                <w:szCs w:val="21"/>
              </w:rPr>
              <w:t>主要构件有大的缺损，严重影响桥梁使用功能；或影响承载能力，不能保证正常的使用。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12" w:type="dxa"/>
            <w:noWrap w:val="0"/>
            <w:vAlign w:val="center"/>
          </w:tcPr>
          <w:p>
            <w:pPr>
              <w:pStyle w:val="20"/>
              <w:rPr>
                <w:rFonts w:cs="宋体"/>
                <w:kern w:val="2"/>
                <w:sz w:val="21"/>
                <w:szCs w:val="21"/>
              </w:rPr>
            </w:pPr>
            <w:r>
              <w:rPr>
                <w:rFonts w:cs="宋体"/>
                <w:kern w:val="2"/>
                <w:sz w:val="21"/>
                <w:szCs w:val="21"/>
              </w:rPr>
              <w:t>5类</w:t>
            </w:r>
          </w:p>
        </w:tc>
        <w:tc>
          <w:tcPr>
            <w:tcW w:w="8221" w:type="dxa"/>
            <w:noWrap w:val="0"/>
            <w:vAlign w:val="center"/>
          </w:tcPr>
          <w:p>
            <w:pPr>
              <w:pStyle w:val="20"/>
              <w:rPr>
                <w:rFonts w:cs="宋体"/>
                <w:kern w:val="2"/>
                <w:sz w:val="21"/>
                <w:szCs w:val="21"/>
              </w:rPr>
            </w:pPr>
            <w:r>
              <w:rPr>
                <w:rFonts w:cs="宋体"/>
                <w:kern w:val="2"/>
                <w:sz w:val="21"/>
                <w:szCs w:val="21"/>
              </w:rPr>
              <w:t>主要构件存在严重缺损，主要构件不能正常使用，危及桥梁安全，桥梁处于危险状态。</w:t>
            </w:r>
          </w:p>
        </w:tc>
      </w:tr>
    </w:tbl>
    <w:p>
      <w:pPr>
        <w:pStyle w:val="17"/>
      </w:pPr>
      <w:r>
        <w:t>表</w:t>
      </w:r>
      <w:r>
        <w:fldChar w:fldCharType="begin"/>
      </w:r>
      <w:r>
        <w:instrText xml:space="preserve"> STYLEREF 2 \s </w:instrText>
      </w:r>
      <w:r>
        <w:fldChar w:fldCharType="separate"/>
      </w:r>
      <w:r>
        <w:t>4.3</w:t>
      </w:r>
      <w:r>
        <w:fldChar w:fldCharType="end"/>
      </w:r>
      <w:r>
        <w:t>.</w:t>
      </w:r>
      <w:r>
        <w:fldChar w:fldCharType="begin"/>
      </w:r>
      <w:r>
        <w:instrText xml:space="preserve"> SEQ 表 \* ARABIC \s 2 </w:instrText>
      </w:r>
      <w:r>
        <w:fldChar w:fldCharType="separate"/>
      </w:r>
      <w:r>
        <w:t>3</w:t>
      </w:r>
      <w:r>
        <w:fldChar w:fldCharType="end"/>
      </w:r>
      <w:r>
        <w:t>桥梁主要部件技术状况评定标度</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73"/>
        <w:gridCol w:w="80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1373" w:type="dxa"/>
            <w:noWrap w:val="0"/>
            <w:vAlign w:val="center"/>
          </w:tcPr>
          <w:p>
            <w:pPr>
              <w:pStyle w:val="20"/>
              <w:rPr>
                <w:rFonts w:cs="宋体"/>
                <w:kern w:val="2"/>
                <w:sz w:val="21"/>
                <w:szCs w:val="21"/>
              </w:rPr>
            </w:pPr>
            <w:r>
              <w:rPr>
                <w:rFonts w:cs="宋体"/>
                <w:kern w:val="2"/>
                <w:sz w:val="21"/>
                <w:szCs w:val="21"/>
              </w:rPr>
              <w:t>技术状况</w:t>
            </w:r>
          </w:p>
          <w:p>
            <w:pPr>
              <w:pStyle w:val="20"/>
              <w:rPr>
                <w:rFonts w:cs="宋体"/>
                <w:kern w:val="2"/>
                <w:sz w:val="21"/>
                <w:szCs w:val="21"/>
              </w:rPr>
            </w:pPr>
            <w:r>
              <w:rPr>
                <w:rFonts w:cs="宋体"/>
                <w:kern w:val="2"/>
                <w:sz w:val="21"/>
                <w:szCs w:val="21"/>
              </w:rPr>
              <w:t>评定标度</w:t>
            </w:r>
          </w:p>
        </w:tc>
        <w:tc>
          <w:tcPr>
            <w:tcW w:w="8046" w:type="dxa"/>
            <w:noWrap w:val="0"/>
            <w:vAlign w:val="center"/>
          </w:tcPr>
          <w:p>
            <w:pPr>
              <w:pStyle w:val="20"/>
              <w:rPr>
                <w:rFonts w:cs="宋体"/>
                <w:kern w:val="2"/>
                <w:sz w:val="21"/>
                <w:szCs w:val="21"/>
              </w:rPr>
            </w:pPr>
            <w:r>
              <w:rPr>
                <w:rFonts w:cs="宋体"/>
                <w:kern w:val="2"/>
                <w:sz w:val="21"/>
                <w:szCs w:val="21"/>
              </w:rPr>
              <w:t>桥梁技术状况描述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1373" w:type="dxa"/>
            <w:noWrap w:val="0"/>
            <w:vAlign w:val="center"/>
          </w:tcPr>
          <w:p>
            <w:pPr>
              <w:pStyle w:val="20"/>
              <w:rPr>
                <w:rFonts w:cs="宋体"/>
                <w:kern w:val="2"/>
                <w:sz w:val="21"/>
                <w:szCs w:val="21"/>
              </w:rPr>
            </w:pPr>
            <w:r>
              <w:rPr>
                <w:rFonts w:cs="宋体"/>
                <w:kern w:val="2"/>
                <w:sz w:val="21"/>
                <w:szCs w:val="21"/>
              </w:rPr>
              <w:t>1类</w:t>
            </w:r>
          </w:p>
        </w:tc>
        <w:tc>
          <w:tcPr>
            <w:tcW w:w="8046" w:type="dxa"/>
            <w:noWrap w:val="0"/>
            <w:vAlign w:val="center"/>
          </w:tcPr>
          <w:p>
            <w:pPr>
              <w:pStyle w:val="20"/>
              <w:rPr>
                <w:rFonts w:cs="宋体"/>
                <w:kern w:val="2"/>
                <w:sz w:val="21"/>
                <w:szCs w:val="21"/>
              </w:rPr>
            </w:pPr>
            <w:r>
              <w:rPr>
                <w:rFonts w:cs="宋体"/>
                <w:kern w:val="2"/>
                <w:sz w:val="21"/>
                <w:szCs w:val="21"/>
              </w:rPr>
              <w:t>全新状态、功能完好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1373" w:type="dxa"/>
            <w:noWrap w:val="0"/>
            <w:vAlign w:val="center"/>
          </w:tcPr>
          <w:p>
            <w:pPr>
              <w:pStyle w:val="20"/>
              <w:rPr>
                <w:rFonts w:cs="宋体"/>
                <w:kern w:val="2"/>
                <w:sz w:val="21"/>
                <w:szCs w:val="21"/>
              </w:rPr>
            </w:pPr>
            <w:r>
              <w:rPr>
                <w:rFonts w:cs="宋体"/>
                <w:kern w:val="2"/>
                <w:sz w:val="21"/>
                <w:szCs w:val="21"/>
              </w:rPr>
              <w:t>2类</w:t>
            </w:r>
          </w:p>
        </w:tc>
        <w:tc>
          <w:tcPr>
            <w:tcW w:w="8046" w:type="dxa"/>
            <w:noWrap w:val="0"/>
            <w:vAlign w:val="center"/>
          </w:tcPr>
          <w:p>
            <w:pPr>
              <w:pStyle w:val="20"/>
              <w:rPr>
                <w:rFonts w:cs="宋体"/>
                <w:kern w:val="2"/>
                <w:sz w:val="21"/>
                <w:szCs w:val="21"/>
              </w:rPr>
            </w:pPr>
            <w:r>
              <w:rPr>
                <w:rFonts w:cs="宋体"/>
                <w:kern w:val="2"/>
                <w:sz w:val="21"/>
                <w:szCs w:val="21"/>
              </w:rPr>
              <w:t>功能良好，材料有局部轻度缺损或污染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1373" w:type="dxa"/>
            <w:noWrap w:val="0"/>
            <w:vAlign w:val="center"/>
          </w:tcPr>
          <w:p>
            <w:pPr>
              <w:pStyle w:val="20"/>
              <w:rPr>
                <w:rFonts w:cs="宋体"/>
                <w:kern w:val="2"/>
                <w:sz w:val="21"/>
                <w:szCs w:val="21"/>
              </w:rPr>
            </w:pPr>
            <w:r>
              <w:rPr>
                <w:rFonts w:cs="宋体"/>
                <w:kern w:val="2"/>
                <w:sz w:val="21"/>
                <w:szCs w:val="21"/>
              </w:rPr>
              <w:t>3类</w:t>
            </w:r>
          </w:p>
        </w:tc>
        <w:tc>
          <w:tcPr>
            <w:tcW w:w="8046" w:type="dxa"/>
            <w:noWrap w:val="0"/>
            <w:vAlign w:val="center"/>
          </w:tcPr>
          <w:p>
            <w:pPr>
              <w:pStyle w:val="20"/>
              <w:rPr>
                <w:rFonts w:cs="宋体"/>
                <w:kern w:val="2"/>
                <w:sz w:val="21"/>
                <w:szCs w:val="21"/>
              </w:rPr>
            </w:pPr>
            <w:r>
              <w:rPr>
                <w:rFonts w:cs="宋体"/>
                <w:kern w:val="2"/>
                <w:sz w:val="21"/>
                <w:szCs w:val="21"/>
              </w:rPr>
              <w:t>材料有中等缺损；或出现轻度功能性病害，但发展缓慢，尚能维持正常使用功能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1373" w:type="dxa"/>
            <w:noWrap w:val="0"/>
            <w:vAlign w:val="center"/>
          </w:tcPr>
          <w:p>
            <w:pPr>
              <w:pStyle w:val="20"/>
              <w:rPr>
                <w:rFonts w:cs="宋体"/>
                <w:kern w:val="2"/>
                <w:sz w:val="21"/>
                <w:szCs w:val="21"/>
              </w:rPr>
            </w:pPr>
            <w:r>
              <w:rPr>
                <w:rFonts w:cs="宋体"/>
                <w:kern w:val="2"/>
                <w:sz w:val="21"/>
                <w:szCs w:val="21"/>
              </w:rPr>
              <w:t>4类</w:t>
            </w:r>
          </w:p>
        </w:tc>
        <w:tc>
          <w:tcPr>
            <w:tcW w:w="8046" w:type="dxa"/>
            <w:noWrap w:val="0"/>
            <w:vAlign w:val="center"/>
          </w:tcPr>
          <w:p>
            <w:pPr>
              <w:pStyle w:val="20"/>
              <w:rPr>
                <w:rFonts w:cs="宋体"/>
                <w:kern w:val="2"/>
                <w:sz w:val="21"/>
                <w:szCs w:val="21"/>
              </w:rPr>
            </w:pPr>
            <w:r>
              <w:rPr>
                <w:rFonts w:cs="宋体"/>
                <w:kern w:val="2"/>
                <w:sz w:val="21"/>
                <w:szCs w:val="21"/>
              </w:rPr>
              <w:t>材料有严重缺损，或出现中等功能性病害，且发展较快；结构变形小于或等于规范值，功能明显降低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1373" w:type="dxa"/>
            <w:noWrap w:val="0"/>
            <w:vAlign w:val="center"/>
          </w:tcPr>
          <w:p>
            <w:pPr>
              <w:pStyle w:val="20"/>
              <w:rPr>
                <w:rFonts w:cs="宋体"/>
                <w:kern w:val="2"/>
                <w:sz w:val="21"/>
                <w:szCs w:val="21"/>
              </w:rPr>
            </w:pPr>
            <w:r>
              <w:rPr>
                <w:rFonts w:cs="宋体"/>
                <w:kern w:val="2"/>
                <w:sz w:val="21"/>
                <w:szCs w:val="21"/>
              </w:rPr>
              <w:t>5类</w:t>
            </w:r>
          </w:p>
        </w:tc>
        <w:tc>
          <w:tcPr>
            <w:tcW w:w="8046" w:type="dxa"/>
            <w:noWrap w:val="0"/>
            <w:vAlign w:val="center"/>
          </w:tcPr>
          <w:p>
            <w:pPr>
              <w:pStyle w:val="20"/>
              <w:rPr>
                <w:rFonts w:cs="宋体"/>
                <w:kern w:val="2"/>
                <w:sz w:val="21"/>
                <w:szCs w:val="21"/>
              </w:rPr>
            </w:pPr>
            <w:r>
              <w:rPr>
                <w:rFonts w:cs="宋体"/>
                <w:kern w:val="2"/>
                <w:sz w:val="21"/>
                <w:szCs w:val="21"/>
              </w:rPr>
              <w:t>材料严重缺损，出现严重的功能性病害，且有继续扩展现象；关键部位的部分材料强度达到极限，变形大于规范值，结构的强度、刚度、稳定性和动力响应不能达到平时交通安全通行的要求</w:t>
            </w:r>
          </w:p>
        </w:tc>
      </w:tr>
    </w:tbl>
    <w:p>
      <w:pPr>
        <w:pStyle w:val="17"/>
      </w:pPr>
      <w:r>
        <w:t>表</w:t>
      </w:r>
      <w:r>
        <w:fldChar w:fldCharType="begin"/>
      </w:r>
      <w:r>
        <w:instrText xml:space="preserve"> STYLEREF 2 \s </w:instrText>
      </w:r>
      <w:r>
        <w:fldChar w:fldCharType="separate"/>
      </w:r>
      <w:r>
        <w:t>4.3</w:t>
      </w:r>
      <w:r>
        <w:fldChar w:fldCharType="end"/>
      </w:r>
      <w:r>
        <w:t>.</w:t>
      </w:r>
      <w:r>
        <w:fldChar w:fldCharType="begin"/>
      </w:r>
      <w:r>
        <w:instrText xml:space="preserve"> SEQ 表 \* ARABIC \s 2 </w:instrText>
      </w:r>
      <w:r>
        <w:fldChar w:fldCharType="separate"/>
      </w:r>
      <w:r>
        <w:t>4</w:t>
      </w:r>
      <w:r>
        <w:fldChar w:fldCharType="end"/>
      </w:r>
      <w:r>
        <w:t>桥梁次要部件技术状况评定标度</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683"/>
        <w:gridCol w:w="772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683" w:type="dxa"/>
            <w:noWrap w:val="0"/>
            <w:vAlign w:val="center"/>
          </w:tcPr>
          <w:p>
            <w:pPr>
              <w:pStyle w:val="20"/>
              <w:rPr>
                <w:rFonts w:cs="宋体"/>
                <w:kern w:val="2"/>
                <w:sz w:val="21"/>
                <w:szCs w:val="21"/>
              </w:rPr>
            </w:pPr>
            <w:r>
              <w:rPr>
                <w:rFonts w:cs="宋体"/>
                <w:kern w:val="2"/>
                <w:sz w:val="21"/>
                <w:szCs w:val="21"/>
              </w:rPr>
              <w:t>技术状况</w:t>
            </w:r>
          </w:p>
          <w:p>
            <w:pPr>
              <w:pStyle w:val="20"/>
              <w:rPr>
                <w:rFonts w:cs="宋体"/>
                <w:kern w:val="2"/>
                <w:sz w:val="21"/>
                <w:szCs w:val="21"/>
              </w:rPr>
            </w:pPr>
            <w:r>
              <w:rPr>
                <w:rFonts w:cs="宋体"/>
                <w:kern w:val="2"/>
                <w:sz w:val="21"/>
                <w:szCs w:val="21"/>
              </w:rPr>
              <w:t>评定标度</w:t>
            </w:r>
          </w:p>
        </w:tc>
        <w:tc>
          <w:tcPr>
            <w:tcW w:w="7720" w:type="dxa"/>
            <w:noWrap w:val="0"/>
            <w:vAlign w:val="center"/>
          </w:tcPr>
          <w:p>
            <w:pPr>
              <w:pStyle w:val="20"/>
              <w:rPr>
                <w:rFonts w:cs="宋体"/>
                <w:kern w:val="2"/>
                <w:sz w:val="21"/>
                <w:szCs w:val="21"/>
              </w:rPr>
            </w:pPr>
            <w:r>
              <w:rPr>
                <w:rFonts w:cs="宋体"/>
                <w:kern w:val="2"/>
                <w:sz w:val="21"/>
                <w:szCs w:val="21"/>
              </w:rPr>
              <w:t>桥梁技术状况描述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683" w:type="dxa"/>
            <w:noWrap w:val="0"/>
            <w:vAlign w:val="center"/>
          </w:tcPr>
          <w:p>
            <w:pPr>
              <w:pStyle w:val="20"/>
              <w:rPr>
                <w:rFonts w:cs="宋体"/>
                <w:kern w:val="2"/>
                <w:sz w:val="21"/>
                <w:szCs w:val="21"/>
              </w:rPr>
            </w:pPr>
            <w:r>
              <w:rPr>
                <w:rFonts w:cs="宋体"/>
                <w:kern w:val="2"/>
                <w:sz w:val="21"/>
                <w:szCs w:val="21"/>
              </w:rPr>
              <w:t>1类</w:t>
            </w:r>
          </w:p>
        </w:tc>
        <w:tc>
          <w:tcPr>
            <w:tcW w:w="7720" w:type="dxa"/>
            <w:noWrap w:val="0"/>
            <w:vAlign w:val="center"/>
          </w:tcPr>
          <w:p>
            <w:pPr>
              <w:pStyle w:val="20"/>
              <w:rPr>
                <w:rFonts w:cs="宋体"/>
                <w:kern w:val="2"/>
                <w:sz w:val="21"/>
                <w:szCs w:val="21"/>
              </w:rPr>
            </w:pPr>
            <w:r>
              <w:rPr>
                <w:rFonts w:cs="宋体"/>
                <w:kern w:val="2"/>
                <w:sz w:val="21"/>
                <w:szCs w:val="21"/>
              </w:rPr>
              <w:t>功能完好或良好，材料有轻度缺损或污染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683" w:type="dxa"/>
            <w:noWrap w:val="0"/>
            <w:vAlign w:val="center"/>
          </w:tcPr>
          <w:p>
            <w:pPr>
              <w:pStyle w:val="20"/>
              <w:rPr>
                <w:rFonts w:cs="宋体"/>
                <w:kern w:val="2"/>
                <w:sz w:val="21"/>
                <w:szCs w:val="21"/>
              </w:rPr>
            </w:pPr>
            <w:r>
              <w:rPr>
                <w:rFonts w:cs="宋体"/>
                <w:kern w:val="2"/>
                <w:sz w:val="21"/>
                <w:szCs w:val="21"/>
              </w:rPr>
              <w:t>2类</w:t>
            </w:r>
          </w:p>
        </w:tc>
        <w:tc>
          <w:tcPr>
            <w:tcW w:w="7720" w:type="dxa"/>
            <w:noWrap w:val="0"/>
            <w:vAlign w:val="center"/>
          </w:tcPr>
          <w:p>
            <w:pPr>
              <w:pStyle w:val="20"/>
              <w:rPr>
                <w:rFonts w:cs="宋体"/>
                <w:kern w:val="2"/>
                <w:sz w:val="21"/>
                <w:szCs w:val="21"/>
              </w:rPr>
            </w:pPr>
            <w:r>
              <w:rPr>
                <w:rFonts w:cs="宋体"/>
                <w:kern w:val="2"/>
                <w:sz w:val="21"/>
                <w:szCs w:val="21"/>
              </w:rPr>
              <w:t>有中等缺损或污染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683" w:type="dxa"/>
            <w:noWrap w:val="0"/>
            <w:vAlign w:val="center"/>
          </w:tcPr>
          <w:p>
            <w:pPr>
              <w:pStyle w:val="20"/>
              <w:rPr>
                <w:rFonts w:cs="宋体"/>
                <w:kern w:val="2"/>
                <w:sz w:val="21"/>
                <w:szCs w:val="21"/>
              </w:rPr>
            </w:pPr>
            <w:r>
              <w:rPr>
                <w:rFonts w:cs="宋体"/>
                <w:kern w:val="2"/>
                <w:sz w:val="21"/>
                <w:szCs w:val="21"/>
              </w:rPr>
              <w:t>3类</w:t>
            </w:r>
          </w:p>
        </w:tc>
        <w:tc>
          <w:tcPr>
            <w:tcW w:w="7720" w:type="dxa"/>
            <w:noWrap w:val="0"/>
            <w:vAlign w:val="center"/>
          </w:tcPr>
          <w:p>
            <w:pPr>
              <w:pStyle w:val="20"/>
              <w:rPr>
                <w:rFonts w:cs="宋体"/>
                <w:kern w:val="2"/>
                <w:sz w:val="21"/>
                <w:szCs w:val="21"/>
              </w:rPr>
            </w:pPr>
            <w:r>
              <w:rPr>
                <w:rFonts w:cs="宋体"/>
                <w:kern w:val="2"/>
                <w:sz w:val="21"/>
                <w:szCs w:val="21"/>
              </w:rPr>
              <w:t>材料有严重缺损，出现功能降低，进一步恶化将不利于主要部件、影响正常交通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683" w:type="dxa"/>
            <w:noWrap w:val="0"/>
            <w:vAlign w:val="center"/>
          </w:tcPr>
          <w:p>
            <w:pPr>
              <w:pStyle w:val="20"/>
              <w:rPr>
                <w:rFonts w:cs="宋体"/>
                <w:kern w:val="2"/>
                <w:sz w:val="21"/>
                <w:szCs w:val="21"/>
              </w:rPr>
            </w:pPr>
            <w:r>
              <w:rPr>
                <w:rFonts w:cs="宋体"/>
                <w:kern w:val="2"/>
                <w:sz w:val="21"/>
                <w:szCs w:val="21"/>
              </w:rPr>
              <w:t>4类</w:t>
            </w:r>
          </w:p>
        </w:tc>
        <w:tc>
          <w:tcPr>
            <w:tcW w:w="7720" w:type="dxa"/>
            <w:noWrap w:val="0"/>
            <w:vAlign w:val="center"/>
          </w:tcPr>
          <w:p>
            <w:pPr>
              <w:pStyle w:val="20"/>
              <w:rPr>
                <w:rFonts w:cs="宋体"/>
                <w:kern w:val="2"/>
                <w:sz w:val="21"/>
                <w:szCs w:val="21"/>
              </w:rPr>
            </w:pPr>
            <w:r>
              <w:rPr>
                <w:rFonts w:cs="宋体"/>
                <w:kern w:val="2"/>
                <w:sz w:val="21"/>
                <w:szCs w:val="21"/>
              </w:rPr>
              <w:t>材料有严重缺损，失去应有功能，严重影响正常交通；或原无设置，而调查需要补设</w:t>
            </w:r>
          </w:p>
        </w:tc>
      </w:tr>
    </w:tbl>
    <w:p>
      <w:pPr>
        <w:spacing w:before="100" w:beforeAutospacing="1" w:line="360" w:lineRule="auto"/>
        <w:ind w:left="482"/>
      </w:pPr>
      <w:bookmarkStart w:id="34" w:name="_Toc385235135"/>
      <w:bookmarkEnd w:id="34"/>
      <w:bookmarkStart w:id="35" w:name="_Toc480558354"/>
      <w:bookmarkStart w:id="36" w:name="_Toc461387402"/>
      <w:bookmarkStart w:id="37" w:name="_Toc466399430"/>
      <w:bookmarkStart w:id="38" w:name="_Toc480535889"/>
      <w:bookmarkStart w:id="39" w:name="_Toc482906256"/>
      <w:bookmarkStart w:id="40" w:name="_Toc105400398"/>
      <w:bookmarkStart w:id="41" w:name="_Toc462869130"/>
      <w:bookmarkStart w:id="42" w:name="_Toc461028995"/>
      <w:bookmarkStart w:id="43" w:name="_Toc413329433"/>
      <w:r>
        <w:t>3）评定流程</w:t>
      </w:r>
      <w:bookmarkEnd w:id="35"/>
      <w:bookmarkEnd w:id="36"/>
      <w:bookmarkEnd w:id="37"/>
      <w:bookmarkEnd w:id="38"/>
      <w:bookmarkEnd w:id="39"/>
      <w:bookmarkEnd w:id="40"/>
      <w:bookmarkEnd w:id="41"/>
      <w:bookmarkEnd w:id="42"/>
      <w:bookmarkEnd w:id="43"/>
    </w:p>
    <w:p>
      <w:pPr>
        <w:spacing w:line="360" w:lineRule="auto"/>
        <w:ind w:firstLine="480"/>
        <w:rPr>
          <w:szCs w:val="24"/>
        </w:rPr>
      </w:pPr>
      <w:r>
        <w:rPr>
          <w:szCs w:val="24"/>
        </w:rPr>
        <w:t>各桥技术状况评定流程如下</w:t>
      </w:r>
      <w:r>
        <w:fldChar w:fldCharType="begin"/>
      </w:r>
      <w:r>
        <w:instrText xml:space="preserve"> REF _Ref422238258 \h  \* MERGEFORMAT </w:instrText>
      </w:r>
      <w:r>
        <w:fldChar w:fldCharType="separate"/>
      </w:r>
      <w:r>
        <w:t>图</w:t>
      </w:r>
      <w:r>
        <w:fldChar w:fldCharType="begin"/>
      </w:r>
      <w:r>
        <w:instrText xml:space="preserve"> STYLEREF 2 \s </w:instrText>
      </w:r>
      <w:r>
        <w:fldChar w:fldCharType="separate"/>
      </w:r>
      <w:r>
        <w:t>4.3</w:t>
      </w:r>
      <w:r>
        <w:fldChar w:fldCharType="end"/>
      </w:r>
      <w:r>
        <w:t>.2</w:t>
      </w:r>
      <w:r>
        <w:fldChar w:fldCharType="end"/>
      </w:r>
      <w:r>
        <w:rPr>
          <w:szCs w:val="24"/>
        </w:rPr>
        <w:t>所示。</w:t>
      </w:r>
    </w:p>
    <w:p>
      <w:pPr>
        <w:widowControl/>
        <w:spacing w:line="360" w:lineRule="auto"/>
        <w:ind w:firstLine="406"/>
        <w:jc w:val="center"/>
        <w:rPr>
          <w:spacing w:val="10"/>
          <w:kern w:val="0"/>
          <w:sz w:val="21"/>
          <w:szCs w:val="21"/>
        </w:rPr>
      </w:pPr>
      <w:r>
        <w:rPr>
          <w:spacing w:val="10"/>
          <w:kern w:val="0"/>
          <w:sz w:val="21"/>
          <w:szCs w:val="21"/>
        </w:rPr>
        <w:object>
          <v:shape id="_x0000_i1051" o:spt="75" type="#_x0000_t75" style="height:444.15pt;width:390.05pt;" o:ole="t" filled="f" o:preferrelative="t" stroked="f" coordsize="21600,21600">
            <v:path/>
            <v:fill on="f" focussize="0,0"/>
            <v:stroke on="f"/>
            <v:imagedata r:id="rId20" o:title=""/>
            <o:lock v:ext="edit" aspectratio="t"/>
            <w10:wrap type="none"/>
            <w10:anchorlock/>
          </v:shape>
          <o:OLEObject Type="Embed" ProgID="Visio.Drawing.11" ShapeID="_x0000_i1051" DrawAspect="Content" ObjectID="_1468075728" r:id="rId19">
            <o:LockedField>false</o:LockedField>
          </o:OLEObject>
        </w:object>
      </w:r>
    </w:p>
    <w:p>
      <w:pPr>
        <w:pStyle w:val="21"/>
        <w:spacing w:before="120" w:beforeLines="50"/>
        <w:ind w:firstLine="0" w:firstLineChars="0"/>
        <w:jc w:val="center"/>
        <w:rPr>
          <w:sz w:val="21"/>
          <w:szCs w:val="21"/>
        </w:rPr>
      </w:pPr>
      <w:bookmarkStart w:id="44" w:name="_Ref422238258"/>
      <w:r>
        <w:rPr>
          <w:sz w:val="21"/>
          <w:szCs w:val="21"/>
        </w:rPr>
        <w:t>图</w:t>
      </w:r>
      <w:r>
        <w:rPr>
          <w:sz w:val="21"/>
          <w:szCs w:val="21"/>
        </w:rPr>
        <w:fldChar w:fldCharType="begin"/>
      </w:r>
      <w:r>
        <w:rPr>
          <w:sz w:val="21"/>
          <w:szCs w:val="21"/>
        </w:rPr>
        <w:instrText xml:space="preserve"> STYLEREF 2 \s </w:instrText>
      </w:r>
      <w:r>
        <w:rPr>
          <w:sz w:val="21"/>
          <w:szCs w:val="21"/>
        </w:rPr>
        <w:fldChar w:fldCharType="separate"/>
      </w:r>
      <w:r>
        <w:rPr>
          <w:sz w:val="21"/>
          <w:szCs w:val="21"/>
        </w:rPr>
        <w:t>4.3</w:t>
      </w:r>
      <w:r>
        <w:rPr>
          <w:sz w:val="21"/>
          <w:szCs w:val="21"/>
        </w:rPr>
        <w:fldChar w:fldCharType="end"/>
      </w:r>
      <w:r>
        <w:rPr>
          <w:sz w:val="21"/>
          <w:szCs w:val="21"/>
        </w:rPr>
        <w:t>.</w:t>
      </w:r>
      <w:r>
        <w:rPr>
          <w:sz w:val="21"/>
          <w:szCs w:val="21"/>
        </w:rPr>
        <w:fldChar w:fldCharType="begin"/>
      </w:r>
      <w:r>
        <w:rPr>
          <w:sz w:val="21"/>
          <w:szCs w:val="21"/>
        </w:rPr>
        <w:instrText xml:space="preserve"> SEQ 图 \* ARABIC \s 2 </w:instrText>
      </w:r>
      <w:r>
        <w:rPr>
          <w:sz w:val="21"/>
          <w:szCs w:val="21"/>
        </w:rPr>
        <w:fldChar w:fldCharType="separate"/>
      </w:r>
      <w:r>
        <w:rPr>
          <w:sz w:val="21"/>
          <w:szCs w:val="21"/>
        </w:rPr>
        <w:t>2</w:t>
      </w:r>
      <w:r>
        <w:rPr>
          <w:sz w:val="21"/>
          <w:szCs w:val="21"/>
        </w:rPr>
        <w:fldChar w:fldCharType="end"/>
      </w:r>
      <w:bookmarkEnd w:id="44"/>
      <w:r>
        <w:rPr>
          <w:sz w:val="21"/>
          <w:szCs w:val="21"/>
        </w:rPr>
        <w:t>桥梁技术状况评定工作流程图</w:t>
      </w:r>
    </w:p>
    <w:p>
      <w:pPr>
        <w:pStyle w:val="16"/>
        <w:bidi w:val="0"/>
        <w:rPr>
          <w:rFonts w:hint="eastAsia"/>
          <w:lang w:val="en-US" w:eastAsia="zh-CN"/>
        </w:rPr>
      </w:pPr>
    </w:p>
    <w:p>
      <w:pPr>
        <w:pStyle w:val="16"/>
        <w:bidi w:val="0"/>
      </w:pPr>
    </w:p>
    <w:p>
      <w:pPr>
        <w:pStyle w:val="10"/>
        <w:rPr>
          <w:rFonts w:hint="eastAsia"/>
          <w:lang w:val="en-US" w:eastAsia="zh-CN"/>
        </w:rPr>
      </w:pPr>
    </w:p>
    <w:p/>
    <w:p/>
    <w:sectPr>
      <w:pgSz w:w="11906" w:h="16838"/>
      <w:pgMar w:top="1757"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205EDDA-38E7-40B4-ADAD-E12261EEDBB3}"/>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EDFAA53-D984-4DE2-98AB-242BFB76726F}"/>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embedRegular r:id="rId3" w:fontKey="{01C45E50-008C-4030-86A4-2512A259B603}"/>
  </w:font>
  <w:font w:name="方正小标宋简体">
    <w:altName w:val="Arial Unicode MS"/>
    <w:panose1 w:val="02010601030101010101"/>
    <w:charset w:val="86"/>
    <w:family w:val="auto"/>
    <w:pitch w:val="default"/>
    <w:sig w:usb0="00000000" w:usb1="00000000" w:usb2="00000000" w:usb3="00000000" w:csb0="00040000" w:csb1="00000000"/>
    <w:embedRegular r:id="rId4" w:fontKey="{762DC536-FE78-460E-A96A-B23819CFF3BE}"/>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4E3AFB08"/>
    <w:multiLevelType w:val="multilevel"/>
    <w:tmpl w:val="4E3AFB08"/>
    <w:lvl w:ilvl="0" w:tentative="0">
      <w:start w:val="1"/>
      <w:numFmt w:val="decimal"/>
      <w:pStyle w:val="4"/>
      <w:lvlText w:val="第%1章"/>
      <w:lvlJc w:val="left"/>
      <w:pPr>
        <w:tabs>
          <w:tab w:val="left" w:pos="0"/>
        </w:tabs>
      </w:pPr>
      <w:rPr>
        <w:rFonts w:hint="default"/>
      </w:rPr>
    </w:lvl>
    <w:lvl w:ilvl="1" w:tentative="0">
      <w:start w:val="1"/>
      <w:numFmt w:val="decimal"/>
      <w:pStyle w:val="5"/>
      <w:lvlText w:val="%1.%2"/>
      <w:lvlJc w:val="left"/>
      <w:rPr>
        <w:rFonts w:hint="default"/>
      </w:rPr>
    </w:lvl>
    <w:lvl w:ilvl="2" w:tentative="0">
      <w:start w:val="1"/>
      <w:numFmt w:val="decimal"/>
      <w:pStyle w:val="7"/>
      <w:lvlText w:val="%1.%2.%3"/>
      <w:lvlJc w:val="left"/>
      <w:rPr>
        <w:rFonts w:hint="default"/>
      </w:rPr>
    </w:lvl>
    <w:lvl w:ilvl="3" w:tentative="0">
      <w:start w:val="1"/>
      <w:numFmt w:val="decimal"/>
      <w:pStyle w:val="8"/>
      <w:lvlText w:val="%1.%2.%3.%4"/>
      <w:lvlJc w:val="left"/>
      <w:rPr>
        <w:rFonts w:hint="default"/>
      </w:rPr>
    </w:lvl>
    <w:lvl w:ilvl="4" w:tentative="0">
      <w:start w:val="1"/>
      <w:numFmt w:val="decimal"/>
      <w:pStyle w:val="9"/>
      <w:lvlText w:val="%1.%2.%3.%4.%5"/>
      <w:lvlJc w:val="left"/>
      <w:rPr>
        <w:rFonts w:hint="default"/>
      </w:rPr>
    </w:lvl>
    <w:lvl w:ilvl="5" w:tentative="0">
      <w:start w:val="1"/>
      <w:numFmt w:val="decimal"/>
      <w:lvlText w:val="(%6)"/>
      <w:lvlJc w:val="left"/>
      <w:rPr>
        <w:rFonts w:hint="default"/>
      </w:rPr>
    </w:lvl>
    <w:lvl w:ilvl="6" w:tentative="0">
      <w:start w:val="1"/>
      <w:numFmt w:val="decimal"/>
      <w:lvlText w:val="%1.%2.%3.%4.%5.%6.%7"/>
      <w:lvlJc w:val="left"/>
      <w:rPr>
        <w:rFonts w:hint="default"/>
      </w:rPr>
    </w:lvl>
    <w:lvl w:ilvl="7" w:tentative="0">
      <w:start w:val="1"/>
      <w:numFmt w:val="decimal"/>
      <w:pStyle w:val="6"/>
      <w:lvlText w:val="%1.%2.%3.%4.%5.%6.%7.%8"/>
      <w:lvlJc w:val="left"/>
      <w:rPr>
        <w:rFonts w:hint="default"/>
      </w:rPr>
    </w:lvl>
    <w:lvl w:ilvl="8" w:tentative="0">
      <w:start w:val="1"/>
      <w:numFmt w:val="decimal"/>
      <w:lvlText w:val="%1.%2.%3.%4.%5.%6.%7.%8.%9"/>
      <w:lvlJc w:val="left"/>
      <w:rPr>
        <w:rFonts w:hint="default"/>
      </w:rPr>
    </w:lvl>
  </w:abstractNum>
  <w:abstractNum w:abstractNumId="2">
    <w:nsid w:val="5D1EEC80"/>
    <w:multiLevelType w:val="multilevel"/>
    <w:tmpl w:val="5D1EEC80"/>
    <w:lvl w:ilvl="0" w:tentative="0">
      <w:start w:val="1"/>
      <w:numFmt w:val="chineseCountingThousand"/>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YWU3ZGM5MGQxNjM0OTJmNGU0MWQ5NTUzYmEwNDQifQ=="/>
  </w:docVars>
  <w:rsids>
    <w:rsidRoot w:val="268B65B8"/>
    <w:rsid w:val="15391A5F"/>
    <w:rsid w:val="268B65B8"/>
    <w:rsid w:val="35065E35"/>
    <w:rsid w:val="35D65462"/>
    <w:rsid w:val="3E6334E7"/>
    <w:rsid w:val="42EA4BD5"/>
    <w:rsid w:val="4AFE78C0"/>
    <w:rsid w:val="74141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semiHidden="0" w:name="heading 2"/>
    <w:lsdException w:qFormat="1" w:uiPriority="9" w:semiHidden="0" w:name="heading 3"/>
    <w:lsdException w:qFormat="1" w:uiPriority="9" w:semiHidden="0" w:name="heading 4"/>
    <w:lsdException w:qFormat="1" w:uiPriority="1" w:semiHidden="0" w:name="heading 5"/>
    <w:lsdException w:qFormat="1" w:uiPriority="0" w:name="heading 6"/>
    <w:lsdException w:qFormat="1" w:uiPriority="0" w:name="heading 7"/>
    <w:lsdException w:qFormat="1"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unhideWhenUsed/>
    <w:qFormat/>
    <w:uiPriority w:val="9"/>
    <w:pPr>
      <w:pageBreakBefore w:val="0"/>
      <w:numPr>
        <w:ilvl w:val="0"/>
        <w:numId w:val="1"/>
      </w:numPr>
      <w:spacing w:before="100" w:beforeLines="100" w:after="50" w:afterLines="50" w:line="360" w:lineRule="auto"/>
      <w:ind w:firstLine="0" w:firstLineChars="0"/>
      <w:jc w:val="center"/>
      <w:outlineLvl w:val="0"/>
    </w:pPr>
    <w:rPr>
      <w:rFonts w:ascii="Times New Roman" w:hAnsi="Times New Roman" w:eastAsia="黑体" w:cs="Times New Roman"/>
      <w:b/>
      <w:sz w:val="32"/>
    </w:rPr>
  </w:style>
  <w:style w:type="paragraph" w:styleId="5">
    <w:name w:val="heading 2"/>
    <w:basedOn w:val="6"/>
    <w:next w:val="7"/>
    <w:unhideWhenUsed/>
    <w:qFormat/>
    <w:uiPriority w:val="0"/>
    <w:pPr>
      <w:numPr>
        <w:ilvl w:val="1"/>
        <w:numId w:val="1"/>
      </w:numPr>
      <w:spacing w:beforeLines="50" w:line="360" w:lineRule="auto"/>
      <w:ind w:left="0" w:firstLine="0"/>
      <w:outlineLvl w:val="1"/>
    </w:pPr>
    <w:rPr>
      <w:rFonts w:ascii="Times New Roman" w:hAnsi="Times New Roman" w:eastAsia="黑体" w:cs="Times New Roman"/>
      <w:kern w:val="2"/>
      <w:sz w:val="28"/>
      <w:szCs w:val="22"/>
      <w:lang w:val="en-US" w:eastAsia="zh-CN" w:bidi="ar-SA"/>
    </w:rPr>
  </w:style>
  <w:style w:type="paragraph" w:styleId="7">
    <w:name w:val="heading 3"/>
    <w:basedOn w:val="5"/>
    <w:next w:val="1"/>
    <w:unhideWhenUsed/>
    <w:qFormat/>
    <w:uiPriority w:val="9"/>
    <w:pPr>
      <w:numPr>
        <w:ilvl w:val="2"/>
        <w:numId w:val="1"/>
      </w:numPr>
      <w:spacing w:beforeLines="50" w:afterLines="50" w:line="360" w:lineRule="auto"/>
      <w:outlineLvl w:val="2"/>
    </w:pPr>
    <w:rPr>
      <w:rFonts w:ascii="Times New Roman" w:hAnsi="Times New Roman" w:eastAsia="黑体" w:cs="Times New Roman"/>
      <w:kern w:val="2"/>
      <w:sz w:val="24"/>
      <w:szCs w:val="22"/>
      <w:lang w:val="en-US" w:eastAsia="zh-CN" w:bidi="ar-SA"/>
    </w:rPr>
  </w:style>
  <w:style w:type="paragraph" w:styleId="8">
    <w:name w:val="heading 4"/>
    <w:basedOn w:val="9"/>
    <w:next w:val="1"/>
    <w:unhideWhenUsed/>
    <w:qFormat/>
    <w:uiPriority w:val="9"/>
    <w:pPr>
      <w:numPr>
        <w:ilvl w:val="3"/>
        <w:numId w:val="1"/>
      </w:numPr>
      <w:spacing w:before="50" w:beforeLines="50" w:after="50" w:afterLines="50" w:line="360" w:lineRule="auto"/>
      <w:ind w:left="0" w:firstLine="0" w:firstLineChars="0"/>
      <w:outlineLvl w:val="3"/>
    </w:pPr>
    <w:rPr>
      <w:rFonts w:ascii="Times New Roman" w:hAnsi="Times New Roman"/>
    </w:rPr>
  </w:style>
  <w:style w:type="paragraph" w:styleId="9">
    <w:name w:val="heading 5"/>
    <w:basedOn w:val="1"/>
    <w:next w:val="1"/>
    <w:unhideWhenUsed/>
    <w:qFormat/>
    <w:uiPriority w:val="1"/>
    <w:pPr>
      <w:numPr>
        <w:ilvl w:val="4"/>
        <w:numId w:val="1"/>
      </w:numPr>
      <w:spacing w:line="360" w:lineRule="auto"/>
      <w:ind w:left="0" w:firstLine="0" w:firstLineChars="0"/>
      <w:outlineLvl w:val="4"/>
    </w:pPr>
    <w:rPr>
      <w:rFonts w:ascii="Times New Roman" w:hAnsi="Times New Roman" w:eastAsia="黑体" w:cs="Times New Roman"/>
      <w:b/>
      <w:kern w:val="2"/>
      <w:sz w:val="24"/>
      <w:szCs w:val="22"/>
      <w:lang w:val="en-US" w:eastAsia="zh-CN" w:bidi="ar-SA"/>
    </w:rPr>
  </w:style>
  <w:style w:type="paragraph" w:styleId="6">
    <w:name w:val="heading 8"/>
    <w:next w:val="1"/>
    <w:unhideWhenUsed/>
    <w:qFormat/>
    <w:uiPriority w:val="1"/>
    <w:pPr>
      <w:numPr>
        <w:ilvl w:val="7"/>
        <w:numId w:val="1"/>
      </w:numPr>
      <w:spacing w:line="360" w:lineRule="auto"/>
      <w:ind w:left="0" w:firstLine="0"/>
      <w:outlineLvl w:val="7"/>
    </w:pPr>
    <w:rPr>
      <w:rFonts w:ascii="Times New Roman" w:hAnsi="Times New Roman" w:eastAsia="黑体" w:cs="Times New Roman"/>
      <w:b/>
      <w:kern w:val="2"/>
      <w:sz w:val="24"/>
      <w:szCs w:val="22"/>
      <w:lang w:val="en-US" w:eastAsia="zh-CN" w:bidi="ar-SA"/>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spacing w:before="280" w:beforeLines="0" w:after="156" w:afterLines="0" w:line="377" w:lineRule="auto"/>
      <w:jc w:val="left"/>
      <w:outlineLvl w:val="4"/>
    </w:pPr>
    <w:rPr>
      <w:rFonts w:ascii="Arial" w:hAnsi="Arial" w:eastAsia="黑体"/>
      <w:b/>
      <w:kern w:val="0"/>
      <w:sz w:val="24"/>
      <w:szCs w:val="28"/>
    </w:rPr>
  </w:style>
  <w:style w:type="paragraph" w:customStyle="1" w:styleId="3">
    <w:name w:val="正文（绿盟科技）"/>
    <w:next w:val="1"/>
    <w:qFormat/>
    <w:uiPriority w:val="0"/>
    <w:pPr>
      <w:spacing w:line="300" w:lineRule="auto"/>
    </w:pPr>
    <w:rPr>
      <w:rFonts w:ascii="Arial" w:hAnsi="Arial" w:eastAsia="宋体" w:cs="Times New Roman"/>
      <w:kern w:val="0"/>
      <w:sz w:val="21"/>
      <w:szCs w:val="21"/>
      <w:lang w:val="en-US" w:eastAsia="zh-CN" w:bidi="ar-SA"/>
    </w:rPr>
  </w:style>
  <w:style w:type="paragraph" w:styleId="10">
    <w:name w:val="Body Text"/>
    <w:basedOn w:val="1"/>
    <w:next w:val="1"/>
    <w:qFormat/>
    <w:uiPriority w:val="0"/>
    <w:pPr>
      <w:spacing w:after="120"/>
    </w:pPr>
    <w:rPr>
      <w:rFonts w:ascii="Calibri" w:hAnsi="Calibri" w:eastAsia="宋体" w:cs="Times New Roman"/>
    </w:rPr>
  </w:style>
  <w:style w:type="paragraph" w:styleId="11">
    <w:name w:val="Body Text Indent"/>
    <w:basedOn w:val="1"/>
    <w:unhideWhenUsed/>
    <w:qFormat/>
    <w:uiPriority w:val="99"/>
    <w:pPr>
      <w:spacing w:after="120"/>
      <w:ind w:left="420" w:leftChars="200"/>
    </w:pPr>
  </w:style>
  <w:style w:type="paragraph" w:styleId="12">
    <w:name w:val="Body Text First Indent 2"/>
    <w:basedOn w:val="11"/>
    <w:next w:val="1"/>
    <w:unhideWhenUsed/>
    <w:qFormat/>
    <w:uiPriority w:val="99"/>
    <w:pPr>
      <w:ind w:firstLine="420"/>
    </w:pPr>
  </w:style>
  <w:style w:type="paragraph" w:styleId="15">
    <w:name w:val="List Paragraph"/>
    <w:basedOn w:val="1"/>
    <w:qFormat/>
    <w:uiPriority w:val="34"/>
    <w:pPr>
      <w:ind w:firstLine="420"/>
    </w:pPr>
  </w:style>
  <w:style w:type="paragraph" w:customStyle="1" w:styleId="16">
    <w:name w:val="A正文"/>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7">
    <w:name w:val="A表名图名样式"/>
    <w:basedOn w:val="18"/>
    <w:next w:val="1"/>
    <w:qFormat/>
    <w:uiPriority w:val="0"/>
    <w:pPr>
      <w:spacing w:before="72" w:after="72"/>
      <w:ind w:firstLine="420"/>
    </w:pPr>
  </w:style>
  <w:style w:type="paragraph" w:customStyle="1" w:styleId="18">
    <w:name w:val="A表名_题注编号格式"/>
    <w:basedOn w:val="1"/>
    <w:next w:val="11"/>
    <w:qFormat/>
    <w:uiPriority w:val="0"/>
    <w:pPr>
      <w:keepNext/>
      <w:spacing w:beforeLines="30" w:afterLines="30" w:line="240" w:lineRule="auto"/>
      <w:ind w:firstLine="0" w:firstLineChars="0"/>
      <w:jc w:val="center"/>
      <w:outlineLvl w:val="4"/>
    </w:pPr>
    <w:rPr>
      <w:rFonts w:eastAsia="黑体" w:cs="宋体"/>
      <w:sz w:val="21"/>
      <w:szCs w:val="24"/>
    </w:rPr>
  </w:style>
  <w:style w:type="paragraph" w:customStyle="1" w:styleId="19">
    <w:name w:val="M表格正文"/>
    <w:next w:val="1"/>
    <w:qFormat/>
    <w:uiPriority w:val="0"/>
    <w:pPr>
      <w:jc w:val="center"/>
    </w:pPr>
    <w:rPr>
      <w:rFonts w:ascii="Times New Roman" w:hAnsi="Times New Roman" w:eastAsia="宋体" w:cs="Times New Roman"/>
      <w:kern w:val="2"/>
      <w:sz w:val="21"/>
      <w:szCs w:val="22"/>
      <w:lang w:val="en-US" w:eastAsia="zh-CN" w:bidi="ar-SA"/>
    </w:rPr>
  </w:style>
  <w:style w:type="paragraph" w:customStyle="1" w:styleId="20">
    <w:name w:val="A表格正文"/>
    <w:basedOn w:val="12"/>
    <w:qFormat/>
    <w:uiPriority w:val="0"/>
    <w:pPr>
      <w:spacing w:beforeLines="30" w:afterLines="30" w:line="240" w:lineRule="auto"/>
      <w:ind w:left="0" w:leftChars="0" w:firstLine="0" w:firstLineChars="0"/>
      <w:jc w:val="center"/>
    </w:pPr>
    <w:rPr>
      <w:rFonts w:eastAsia="宋体" w:cs="Times New Roman"/>
      <w:sz w:val="21"/>
      <w:szCs w:val="21"/>
    </w:rPr>
  </w:style>
  <w:style w:type="paragraph" w:customStyle="1" w:styleId="21">
    <w:name w:val="本文"/>
    <w:basedOn w:val="1"/>
    <w:qFormat/>
    <w:uiPriority w:val="0"/>
    <w:pPr>
      <w:spacing w:line="360" w:lineRule="auto"/>
      <w:ind w:firstLine="200" w:firstLineChars="200"/>
    </w:pPr>
    <w:rPr>
      <w:kern w:val="0"/>
      <w:szCs w:val="24"/>
    </w:rPr>
  </w:style>
  <w:style w:type="paragraph" w:customStyle="1" w:styleId="22">
    <w:name w:val="p17"/>
    <w:basedOn w:val="1"/>
    <w:qFormat/>
    <w:uiPriority w:val="0"/>
    <w:pPr>
      <w:widowControl/>
      <w:spacing w:line="320" w:lineRule="atLeast"/>
      <w:jc w:val="center"/>
    </w:pPr>
    <w:rPr>
      <w:spacing w:val="1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12.emf"/><Relationship Id="rId17" Type="http://schemas.openxmlformats.org/officeDocument/2006/relationships/oleObject" Target="embeddings/oleObject3.bin"/><Relationship Id="rId16" Type="http://schemas.openxmlformats.org/officeDocument/2006/relationships/image" Target="media/image11.png"/><Relationship Id="rId15" Type="http://schemas.openxmlformats.org/officeDocument/2006/relationships/oleObject" Target="embeddings/oleObject2.bin"/><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2024-05-30T08:12:00Z</dcterms:created>
  <dc:creator>胖胖是只布偶猫</dc:creator>
  <cp:lastModifiedBy>胖胖是只布偶猫</cp:lastModifiedBy>
  <dcterms:modified xsi:type="dcterms:W3CDTF">2024-05-30T08:15:26Z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42BB7D1B957A471DACD579CAEF5427ED_13</vt:lpwstr>
  </property>
</Properties>
</file>