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3CDB">
      <w:pPr>
        <w:ind w:firstLine="0" w:firstLineChars="0"/>
        <w:rPr>
          <w:rFonts w:hAnsi="宋体"/>
          <w:b/>
          <w:sz w:val="72"/>
          <w:szCs w:val="72"/>
          <w:highlight w:val="none"/>
        </w:rPr>
      </w:pPr>
      <w:bookmarkStart w:id="526" w:name="_GoBack"/>
      <w:bookmarkEnd w:id="526"/>
      <w:bookmarkStart w:id="0" w:name="_Toc217446081"/>
    </w:p>
    <w:p w14:paraId="34A2E86B">
      <w:pPr>
        <w:spacing w:line="600" w:lineRule="exact"/>
        <w:ind w:firstLine="0" w:firstLineChars="0"/>
        <w:jc w:val="center"/>
        <w:rPr>
          <w:rFonts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lang w:val="en-US" w:eastAsia="zh-CN"/>
        </w:rPr>
        <w:t>都四项目办公网络加固项目</w:t>
      </w:r>
      <w:r>
        <w:rPr>
          <w:rFonts w:hint="eastAsia" w:ascii="方正小标宋简体" w:hAnsi="方正小标宋简体" w:eastAsia="方正小标宋简体" w:cs="方正小标宋简体"/>
          <w:bCs/>
          <w:sz w:val="44"/>
          <w:szCs w:val="44"/>
          <w:highlight w:val="none"/>
        </w:rPr>
        <w:t>采购</w:t>
      </w:r>
    </w:p>
    <w:p w14:paraId="6163B87B">
      <w:pPr>
        <w:ind w:firstLine="880"/>
        <w:jc w:val="center"/>
        <w:rPr>
          <w:rFonts w:ascii="方正小标宋简体" w:hAnsi="方正小标宋简体" w:eastAsia="方正小标宋简体" w:cs="方正小标宋简体"/>
          <w:bCs/>
          <w:sz w:val="44"/>
          <w:szCs w:val="44"/>
          <w:highlight w:val="none"/>
        </w:rPr>
      </w:pPr>
    </w:p>
    <w:p w14:paraId="422244D0">
      <w:pPr>
        <w:ind w:firstLine="1044"/>
        <w:jc w:val="center"/>
        <w:rPr>
          <w:b/>
          <w:sz w:val="52"/>
          <w:szCs w:val="52"/>
          <w:highlight w:val="none"/>
        </w:rPr>
      </w:pPr>
    </w:p>
    <w:p w14:paraId="1E60166F">
      <w:pPr>
        <w:ind w:firstLineChars="0"/>
        <w:jc w:val="center"/>
        <w:rPr>
          <w:rFonts w:ascii="方正小标宋简体" w:hAnsi="方正小标宋简体" w:eastAsia="方正小标宋简体" w:cs="方正小标宋简体"/>
          <w:bCs/>
          <w:sz w:val="72"/>
          <w:szCs w:val="72"/>
          <w:highlight w:val="none"/>
        </w:rPr>
      </w:pPr>
      <w:r>
        <w:rPr>
          <w:rFonts w:hint="eastAsia" w:ascii="方正小标宋简体" w:hAnsi="方正小标宋简体" w:eastAsia="方正小标宋简体" w:cs="方正小标宋简体"/>
          <w:bCs/>
          <w:sz w:val="72"/>
          <w:szCs w:val="72"/>
          <w:highlight w:val="none"/>
        </w:rPr>
        <w:t>比</w:t>
      </w:r>
    </w:p>
    <w:p w14:paraId="75FC9618">
      <w:pPr>
        <w:ind w:firstLineChars="0"/>
        <w:jc w:val="center"/>
        <w:rPr>
          <w:rFonts w:hint="eastAsia" w:ascii="方正小标宋简体" w:hAnsi="方正小标宋简体" w:eastAsia="方正小标宋简体" w:cs="方正小标宋简体"/>
          <w:bCs/>
          <w:sz w:val="72"/>
          <w:szCs w:val="72"/>
          <w:highlight w:val="none"/>
          <w:lang w:val="en-US" w:eastAsia="zh-CN"/>
        </w:rPr>
      </w:pPr>
      <w:r>
        <w:rPr>
          <w:rFonts w:hint="eastAsia" w:ascii="方正小标宋简体" w:hAnsi="方正小标宋简体" w:eastAsia="方正小标宋简体" w:cs="方正小标宋简体"/>
          <w:bCs/>
          <w:sz w:val="72"/>
          <w:szCs w:val="72"/>
          <w:highlight w:val="none"/>
        </w:rPr>
        <w:t>选</w:t>
      </w:r>
    </w:p>
    <w:p w14:paraId="7DCB77D6">
      <w:pPr>
        <w:ind w:firstLineChars="0"/>
        <w:jc w:val="center"/>
        <w:rPr>
          <w:rFonts w:ascii="方正小标宋简体" w:hAnsi="方正小标宋简体" w:eastAsia="方正小标宋简体" w:cs="方正小标宋简体"/>
          <w:bCs/>
          <w:sz w:val="72"/>
          <w:szCs w:val="72"/>
          <w:highlight w:val="none"/>
        </w:rPr>
      </w:pPr>
      <w:r>
        <w:rPr>
          <w:rFonts w:hint="eastAsia" w:ascii="方正小标宋简体" w:hAnsi="方正小标宋简体" w:eastAsia="方正小标宋简体" w:cs="方正小标宋简体"/>
          <w:bCs/>
          <w:sz w:val="72"/>
          <w:szCs w:val="72"/>
          <w:highlight w:val="none"/>
        </w:rPr>
        <w:t>文</w:t>
      </w:r>
    </w:p>
    <w:p w14:paraId="607307E0">
      <w:pPr>
        <w:ind w:firstLineChars="0"/>
        <w:jc w:val="center"/>
        <w:rPr>
          <w:rFonts w:ascii="方正小标宋简体" w:hAnsi="方正小标宋简体" w:eastAsia="方正小标宋简体" w:cs="方正小标宋简体"/>
          <w:bCs/>
          <w:sz w:val="72"/>
          <w:szCs w:val="72"/>
          <w:highlight w:val="none"/>
        </w:rPr>
      </w:pPr>
      <w:r>
        <w:rPr>
          <w:rFonts w:hint="eastAsia" w:ascii="方正小标宋简体" w:hAnsi="方正小标宋简体" w:eastAsia="方正小标宋简体" w:cs="方正小标宋简体"/>
          <w:bCs/>
          <w:sz w:val="72"/>
          <w:szCs w:val="72"/>
          <w:highlight w:val="none"/>
        </w:rPr>
        <w:t>件</w:t>
      </w:r>
    </w:p>
    <w:p w14:paraId="79A96F15">
      <w:pPr>
        <w:ind w:firstLine="1044"/>
        <w:rPr>
          <w:b/>
          <w:sz w:val="52"/>
          <w:szCs w:val="52"/>
          <w:highlight w:val="none"/>
        </w:rPr>
      </w:pPr>
    </w:p>
    <w:p w14:paraId="62DA9B76">
      <w:pPr>
        <w:ind w:firstLine="643"/>
        <w:rPr>
          <w:b/>
          <w:sz w:val="32"/>
          <w:szCs w:val="32"/>
          <w:highlight w:val="none"/>
        </w:rPr>
      </w:pPr>
    </w:p>
    <w:p w14:paraId="25CFD996">
      <w:pPr>
        <w:ind w:firstLine="0" w:firstLineChars="0"/>
        <w:rPr>
          <w:b/>
          <w:sz w:val="32"/>
          <w:szCs w:val="32"/>
          <w:highlight w:val="none"/>
        </w:rPr>
      </w:pPr>
    </w:p>
    <w:p w14:paraId="24842431">
      <w:pPr>
        <w:ind w:firstLine="186" w:firstLineChars="62"/>
        <w:jc w:val="center"/>
        <w:rPr>
          <w:rFonts w:ascii="方正小标宋简体" w:hAnsi="方正小标宋简体" w:eastAsia="方正小标宋简体" w:cs="方正小标宋简体"/>
          <w:bCs/>
          <w:sz w:val="30"/>
          <w:szCs w:val="30"/>
          <w:highlight w:val="none"/>
        </w:rPr>
      </w:pPr>
      <w:r>
        <w:rPr>
          <w:rFonts w:hint="eastAsia" w:ascii="方正小标宋简体" w:hAnsi="方正小标宋简体" w:eastAsia="方正小标宋简体" w:cs="方正小标宋简体"/>
          <w:bCs/>
          <w:sz w:val="30"/>
          <w:szCs w:val="30"/>
          <w:highlight w:val="none"/>
        </w:rPr>
        <w:t>中国·四川</w:t>
      </w:r>
    </w:p>
    <w:p w14:paraId="53963830">
      <w:pPr>
        <w:ind w:firstLine="198" w:firstLineChars="66"/>
        <w:jc w:val="center"/>
        <w:rPr>
          <w:rFonts w:ascii="方正小标宋简体" w:hAnsi="方正小标宋简体" w:eastAsia="方正小标宋简体" w:cs="方正小标宋简体"/>
          <w:bCs/>
          <w:sz w:val="30"/>
          <w:szCs w:val="30"/>
          <w:highlight w:val="none"/>
        </w:rPr>
      </w:pPr>
      <w:r>
        <w:rPr>
          <w:rFonts w:ascii="方正小标宋简体" w:hAnsi="方正小标宋简体" w:eastAsia="方正小标宋简体" w:cs="方正小标宋简体"/>
          <w:bCs/>
          <w:sz w:val="30"/>
          <w:szCs w:val="30"/>
          <w:highlight w:val="none"/>
        </w:rPr>
        <w:t>四川</w:t>
      </w:r>
      <w:bookmarkStart w:id="1" w:name="OLE_LINK2"/>
      <w:r>
        <w:rPr>
          <w:rFonts w:ascii="方正小标宋简体" w:hAnsi="方正小标宋简体" w:eastAsia="方正小标宋简体" w:cs="方正小标宋简体"/>
          <w:bCs/>
          <w:sz w:val="30"/>
          <w:szCs w:val="30"/>
          <w:highlight w:val="none"/>
        </w:rPr>
        <w:t>都金山地轨道交通有限责任公司</w:t>
      </w:r>
      <w:bookmarkEnd w:id="1"/>
      <w:r>
        <w:rPr>
          <w:rFonts w:hint="eastAsia" w:ascii="方正小标宋简体" w:hAnsi="方正小标宋简体" w:eastAsia="方正小标宋简体" w:cs="方正小标宋简体"/>
          <w:bCs/>
          <w:sz w:val="30"/>
          <w:szCs w:val="30"/>
          <w:highlight w:val="none"/>
        </w:rPr>
        <w:t xml:space="preserve">  印制</w:t>
      </w:r>
    </w:p>
    <w:p w14:paraId="3969E247">
      <w:pPr>
        <w:ind w:firstLine="198" w:firstLineChars="66"/>
        <w:jc w:val="center"/>
        <w:rPr>
          <w:rFonts w:ascii="方正小标宋简体" w:hAnsi="方正小标宋简体" w:eastAsia="方正小标宋简体" w:cs="方正小标宋简体"/>
          <w:bCs/>
          <w:sz w:val="30"/>
          <w:szCs w:val="30"/>
          <w:highlight w:val="none"/>
        </w:rPr>
      </w:pPr>
      <w:r>
        <w:rPr>
          <w:rFonts w:hint="eastAsia" w:ascii="方正小标宋简体" w:hAnsi="方正小标宋简体" w:eastAsia="方正小标宋简体" w:cs="方正小标宋简体"/>
          <w:bCs/>
          <w:sz w:val="30"/>
          <w:szCs w:val="30"/>
          <w:highlight w:val="none"/>
        </w:rPr>
        <w:t>2024年</w:t>
      </w:r>
      <w:r>
        <w:rPr>
          <w:rFonts w:hint="eastAsia" w:ascii="方正小标宋简体" w:hAnsi="方正小标宋简体" w:eastAsia="方正小标宋简体" w:cs="方正小标宋简体"/>
          <w:bCs/>
          <w:sz w:val="30"/>
          <w:szCs w:val="30"/>
          <w:highlight w:val="none"/>
          <w:lang w:val="en-US" w:eastAsia="zh-CN"/>
        </w:rPr>
        <w:t>8</w:t>
      </w:r>
      <w:r>
        <w:rPr>
          <w:rFonts w:hint="eastAsia" w:ascii="方正小标宋简体" w:hAnsi="方正小标宋简体" w:eastAsia="方正小标宋简体" w:cs="方正小标宋简体"/>
          <w:bCs/>
          <w:sz w:val="30"/>
          <w:szCs w:val="30"/>
          <w:highlight w:val="none"/>
        </w:rPr>
        <w:t>月</w:t>
      </w:r>
    </w:p>
    <w:p w14:paraId="495EBF5C">
      <w:pPr>
        <w:pStyle w:val="42"/>
        <w:ind w:firstLine="600"/>
        <w:rPr>
          <w:rFonts w:ascii="方正小标宋简体" w:hAnsi="方正小标宋简体" w:eastAsia="方正小标宋简体" w:cs="方正小标宋简体"/>
          <w:bCs/>
          <w:sz w:val="30"/>
          <w:szCs w:val="30"/>
          <w:highlight w:val="none"/>
        </w:rPr>
      </w:pPr>
    </w:p>
    <w:p w14:paraId="07A99B18">
      <w:pPr>
        <w:pStyle w:val="42"/>
        <w:ind w:firstLine="600"/>
        <w:rPr>
          <w:rFonts w:ascii="方正小标宋简体" w:hAnsi="方正小标宋简体" w:eastAsia="方正小标宋简体" w:cs="方正小标宋简体"/>
          <w:bCs/>
          <w:sz w:val="30"/>
          <w:szCs w:val="30"/>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361" w:right="1304" w:bottom="1361" w:left="1304" w:header="851" w:footer="992" w:gutter="0"/>
          <w:pgNumType w:start="1"/>
          <w:cols w:space="720" w:num="1"/>
          <w:docGrid w:type="lines" w:linePitch="312" w:charSpace="0"/>
        </w:sectPr>
      </w:pPr>
    </w:p>
    <w:p w14:paraId="2D10374D">
      <w:pPr>
        <w:pStyle w:val="42"/>
        <w:spacing w:line="360" w:lineRule="exact"/>
        <w:ind w:firstLine="600"/>
        <w:jc w:val="center"/>
        <w:rPr>
          <w:rFonts w:ascii="方正小标宋简体" w:hAnsi="方正小标宋简体" w:eastAsia="方正小标宋简体" w:cs="方正小标宋简体"/>
          <w:bCs/>
          <w:sz w:val="30"/>
          <w:szCs w:val="30"/>
          <w:highlight w:val="none"/>
        </w:rPr>
      </w:pPr>
      <w:r>
        <w:rPr>
          <w:rFonts w:hint="eastAsia" w:ascii="方正小标宋简体" w:hAnsi="方正小标宋简体" w:eastAsia="方正小标宋简体" w:cs="方正小标宋简体"/>
          <w:bCs/>
          <w:sz w:val="30"/>
          <w:szCs w:val="30"/>
          <w:highlight w:val="none"/>
        </w:rPr>
        <w:t>目录</w:t>
      </w:r>
    </w:p>
    <w:p w14:paraId="7AE650AF">
      <w:pPr>
        <w:pStyle w:val="42"/>
        <w:spacing w:line="360" w:lineRule="exact"/>
        <w:ind w:firstLine="600"/>
        <w:jc w:val="center"/>
        <w:rPr>
          <w:rFonts w:ascii="方正小标宋简体" w:hAnsi="方正小标宋简体" w:eastAsia="方正小标宋简体" w:cs="方正小标宋简体"/>
          <w:bCs/>
          <w:sz w:val="30"/>
          <w:szCs w:val="30"/>
          <w:highlight w:val="none"/>
        </w:rPr>
      </w:pPr>
    </w:p>
    <w:p w14:paraId="04062AAE">
      <w:pPr>
        <w:pStyle w:val="29"/>
        <w:tabs>
          <w:tab w:val="right" w:leader="dot" w:pos="8306"/>
        </w:tabs>
        <w:rPr>
          <w:highlight w:val="none"/>
        </w:rPr>
      </w:pPr>
      <w:r>
        <w:rPr>
          <w:rFonts w:hint="eastAsia" w:ascii="方正小标宋简体" w:hAnsi="方正小标宋简体" w:eastAsia="方正小标宋简体" w:cs="方正小标宋简体"/>
          <w:bCs/>
          <w:sz w:val="30"/>
          <w:szCs w:val="30"/>
          <w:highlight w:val="none"/>
        </w:rPr>
        <w:fldChar w:fldCharType="begin"/>
      </w:r>
      <w:r>
        <w:rPr>
          <w:rFonts w:hint="eastAsia" w:ascii="方正小标宋简体" w:hAnsi="方正小标宋简体" w:eastAsia="方正小标宋简体" w:cs="方正小标宋简体"/>
          <w:bCs/>
          <w:sz w:val="30"/>
          <w:szCs w:val="30"/>
          <w:highlight w:val="none"/>
        </w:rPr>
        <w:instrText xml:space="preserve">TOC \o "1-2" \h \u </w:instrText>
      </w:r>
      <w:r>
        <w:rPr>
          <w:rFonts w:hint="eastAsia" w:ascii="方正小标宋简体" w:hAnsi="方正小标宋简体" w:eastAsia="方正小标宋简体" w:cs="方正小标宋简体"/>
          <w:bCs/>
          <w:sz w:val="30"/>
          <w:szCs w:val="30"/>
          <w:highlight w:val="none"/>
        </w:rPr>
        <w:fldChar w:fldCharType="separate"/>
      </w: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_Toc14794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第一章  比选公告</w:t>
      </w:r>
      <w:r>
        <w:rPr>
          <w:highlight w:val="none"/>
        </w:rPr>
        <w:tab/>
      </w:r>
      <w:r>
        <w:rPr>
          <w:highlight w:val="none"/>
        </w:rPr>
        <w:fldChar w:fldCharType="begin"/>
      </w:r>
      <w:r>
        <w:rPr>
          <w:highlight w:val="none"/>
        </w:rPr>
        <w:instrText xml:space="preserve"> PAGEREF _Toc14794 \h </w:instrText>
      </w:r>
      <w:r>
        <w:rPr>
          <w:highlight w:val="none"/>
        </w:rPr>
        <w:fldChar w:fldCharType="separate"/>
      </w:r>
      <w:r>
        <w:rPr>
          <w:highlight w:val="none"/>
        </w:rPr>
        <w:t>4</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0EB1E5AE">
      <w:pPr>
        <w:pStyle w:val="29"/>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_Toc29570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第二章 比选需求</w:t>
      </w:r>
      <w:r>
        <w:rPr>
          <w:highlight w:val="none"/>
        </w:rPr>
        <w:tab/>
      </w:r>
      <w:r>
        <w:rPr>
          <w:highlight w:val="none"/>
        </w:rPr>
        <w:fldChar w:fldCharType="begin"/>
      </w:r>
      <w:r>
        <w:rPr>
          <w:highlight w:val="none"/>
        </w:rPr>
        <w:instrText xml:space="preserve"> PAGEREF _Toc29570 \h </w:instrText>
      </w:r>
      <w:r>
        <w:rPr>
          <w:highlight w:val="none"/>
        </w:rPr>
        <w:fldChar w:fldCharType="separate"/>
      </w:r>
      <w:r>
        <w:rPr>
          <w:highlight w:val="none"/>
        </w:rPr>
        <w:t>7</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13B7A3B3">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_Toc31004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一、项目概述</w:t>
      </w:r>
      <w:r>
        <w:rPr>
          <w:highlight w:val="none"/>
        </w:rPr>
        <w:tab/>
      </w:r>
      <w:r>
        <w:rPr>
          <w:highlight w:val="none"/>
        </w:rPr>
        <w:fldChar w:fldCharType="begin"/>
      </w:r>
      <w:r>
        <w:rPr>
          <w:highlight w:val="none"/>
        </w:rPr>
        <w:instrText xml:space="preserve"> PAGEREF _Toc31004 \h </w:instrText>
      </w:r>
      <w:r>
        <w:rPr>
          <w:highlight w:val="none"/>
        </w:rPr>
        <w:fldChar w:fldCharType="separate"/>
      </w:r>
      <w:r>
        <w:rPr>
          <w:highlight w:val="none"/>
        </w:rPr>
        <w:t>7</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559E39B8">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_Toc23865 </w:instrText>
      </w:r>
      <w:r>
        <w:rPr>
          <w:rFonts w:hint="eastAsia" w:ascii="方正小标宋简体" w:hAnsi="方正小标宋简体" w:eastAsia="方正小标宋简体" w:cs="方正小标宋简体"/>
          <w:bCs/>
          <w:szCs w:val="30"/>
          <w:highlight w:val="none"/>
        </w:rPr>
        <w:fldChar w:fldCharType="separate"/>
      </w:r>
      <w:r>
        <w:rPr>
          <w:rFonts w:hint="eastAsia" w:hAnsi="宋体"/>
          <w:bCs/>
          <w:szCs w:val="30"/>
          <w:highlight w:val="none"/>
        </w:rPr>
        <w:t>二、 采购清单</w:t>
      </w:r>
      <w:r>
        <w:rPr>
          <w:highlight w:val="none"/>
        </w:rPr>
        <w:tab/>
      </w:r>
      <w:r>
        <w:rPr>
          <w:highlight w:val="none"/>
        </w:rPr>
        <w:fldChar w:fldCharType="begin"/>
      </w:r>
      <w:r>
        <w:rPr>
          <w:highlight w:val="none"/>
        </w:rPr>
        <w:instrText xml:space="preserve"> PAGEREF _Toc23865 \h </w:instrText>
      </w:r>
      <w:r>
        <w:rPr>
          <w:highlight w:val="none"/>
        </w:rPr>
        <w:fldChar w:fldCharType="separate"/>
      </w:r>
      <w:r>
        <w:rPr>
          <w:highlight w:val="none"/>
        </w:rPr>
        <w:t>8</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35EC3DFB">
      <w:pPr>
        <w:pStyle w:val="29"/>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_Toc27281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第三章 比选申请人须知</w:t>
      </w:r>
      <w:r>
        <w:rPr>
          <w:highlight w:val="none"/>
        </w:rPr>
        <w:tab/>
      </w:r>
      <w:r>
        <w:rPr>
          <w:highlight w:val="none"/>
        </w:rPr>
        <w:fldChar w:fldCharType="begin"/>
      </w:r>
      <w:r>
        <w:rPr>
          <w:highlight w:val="none"/>
        </w:rPr>
        <w:instrText xml:space="preserve"> PAGEREF _Toc27281 \h </w:instrText>
      </w:r>
      <w:r>
        <w:rPr>
          <w:highlight w:val="none"/>
        </w:rPr>
        <w:fldChar w:fldCharType="separate"/>
      </w:r>
      <w:r>
        <w:rPr>
          <w:highlight w:val="none"/>
        </w:rPr>
        <w:t>11</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1A74D271">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_Toc3121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1.总  则</w:t>
      </w:r>
      <w:r>
        <w:rPr>
          <w:highlight w:val="none"/>
        </w:rPr>
        <w:tab/>
      </w:r>
      <w:r>
        <w:rPr>
          <w:highlight w:val="none"/>
        </w:rPr>
        <w:fldChar w:fldCharType="begin"/>
      </w:r>
      <w:r>
        <w:rPr>
          <w:highlight w:val="none"/>
        </w:rPr>
        <w:instrText xml:space="preserve"> PAGEREF _Toc3121 \h </w:instrText>
      </w:r>
      <w:r>
        <w:rPr>
          <w:highlight w:val="none"/>
        </w:rPr>
        <w:fldChar w:fldCharType="separate"/>
      </w:r>
      <w:r>
        <w:rPr>
          <w:highlight w:val="none"/>
        </w:rPr>
        <w:t>14</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BA2661D">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_Toc9806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2.比选文件</w:t>
      </w:r>
      <w:r>
        <w:rPr>
          <w:highlight w:val="none"/>
        </w:rPr>
        <w:tab/>
      </w:r>
      <w:r>
        <w:rPr>
          <w:highlight w:val="none"/>
        </w:rPr>
        <w:fldChar w:fldCharType="begin"/>
      </w:r>
      <w:r>
        <w:rPr>
          <w:highlight w:val="none"/>
        </w:rPr>
        <w:instrText xml:space="preserve"> PAGEREF _Toc9806 \h </w:instrText>
      </w:r>
      <w:r>
        <w:rPr>
          <w:highlight w:val="none"/>
        </w:rPr>
        <w:fldChar w:fldCharType="separate"/>
      </w:r>
      <w:r>
        <w:rPr>
          <w:highlight w:val="none"/>
        </w:rPr>
        <w:t>15</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1342F309">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_Toc1839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3.比选申请文件</w:t>
      </w:r>
      <w:r>
        <w:rPr>
          <w:highlight w:val="none"/>
        </w:rPr>
        <w:tab/>
      </w:r>
      <w:r>
        <w:rPr>
          <w:highlight w:val="none"/>
        </w:rPr>
        <w:fldChar w:fldCharType="begin"/>
      </w:r>
      <w:r>
        <w:rPr>
          <w:highlight w:val="none"/>
        </w:rPr>
        <w:instrText xml:space="preserve"> PAGEREF _Toc1839 \h </w:instrText>
      </w:r>
      <w:r>
        <w:rPr>
          <w:highlight w:val="none"/>
        </w:rPr>
        <w:fldChar w:fldCharType="separate"/>
      </w:r>
      <w:r>
        <w:rPr>
          <w:highlight w:val="none"/>
        </w:rPr>
        <w:t>16</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0B427D49">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_Toc4690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4.开标和比选</w:t>
      </w:r>
      <w:r>
        <w:rPr>
          <w:highlight w:val="none"/>
        </w:rPr>
        <w:tab/>
      </w:r>
      <w:r>
        <w:rPr>
          <w:highlight w:val="none"/>
        </w:rPr>
        <w:fldChar w:fldCharType="begin"/>
      </w:r>
      <w:r>
        <w:rPr>
          <w:highlight w:val="none"/>
        </w:rPr>
        <w:instrText xml:space="preserve"> PAGEREF _Toc4690 \h </w:instrText>
      </w:r>
      <w:r>
        <w:rPr>
          <w:highlight w:val="none"/>
        </w:rPr>
        <w:fldChar w:fldCharType="separate"/>
      </w:r>
      <w:r>
        <w:rPr>
          <w:highlight w:val="none"/>
        </w:rPr>
        <w:t>19</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329C8F8">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_Toc30018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5.定 标</w:t>
      </w:r>
      <w:r>
        <w:rPr>
          <w:highlight w:val="none"/>
        </w:rPr>
        <w:tab/>
      </w:r>
      <w:r>
        <w:rPr>
          <w:highlight w:val="none"/>
        </w:rPr>
        <w:fldChar w:fldCharType="begin"/>
      </w:r>
      <w:r>
        <w:rPr>
          <w:highlight w:val="none"/>
        </w:rPr>
        <w:instrText xml:space="preserve"> PAGEREF _Toc30018 \h </w:instrText>
      </w:r>
      <w:r>
        <w:rPr>
          <w:highlight w:val="none"/>
        </w:rPr>
        <w:fldChar w:fldCharType="separate"/>
      </w:r>
      <w:r>
        <w:rPr>
          <w:highlight w:val="none"/>
        </w:rPr>
        <w:t>20</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0F2B4E01">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_Toc22103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6.签订及履行合同和验收</w:t>
      </w:r>
      <w:r>
        <w:rPr>
          <w:highlight w:val="none"/>
        </w:rPr>
        <w:tab/>
      </w:r>
      <w:r>
        <w:rPr>
          <w:highlight w:val="none"/>
        </w:rPr>
        <w:fldChar w:fldCharType="begin"/>
      </w:r>
      <w:r>
        <w:rPr>
          <w:highlight w:val="none"/>
        </w:rPr>
        <w:instrText xml:space="preserve"> PAGEREF _Toc22103 \h </w:instrText>
      </w:r>
      <w:r>
        <w:rPr>
          <w:highlight w:val="none"/>
        </w:rPr>
        <w:fldChar w:fldCharType="separate"/>
      </w:r>
      <w:r>
        <w:rPr>
          <w:highlight w:val="none"/>
        </w:rPr>
        <w:t>21</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0EBD67C5">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_Toc4251 </w:instrText>
      </w:r>
      <w:r>
        <w:rPr>
          <w:rFonts w:hint="eastAsia" w:ascii="方正小标宋简体" w:hAnsi="方正小标宋简体" w:eastAsia="方正小标宋简体" w:cs="方正小标宋简体"/>
          <w:bCs/>
          <w:szCs w:val="30"/>
          <w:highlight w:val="none"/>
        </w:rPr>
        <w:fldChar w:fldCharType="separate"/>
      </w:r>
      <w:r>
        <w:rPr>
          <w:highlight w:val="none"/>
        </w:rPr>
        <w:t xml:space="preserve">7. </w:t>
      </w:r>
      <w:r>
        <w:rPr>
          <w:rFonts w:hint="eastAsia"/>
          <w:highlight w:val="none"/>
        </w:rPr>
        <w:t>重新比选</w:t>
      </w:r>
      <w:r>
        <w:rPr>
          <w:highlight w:val="none"/>
        </w:rPr>
        <w:tab/>
      </w:r>
      <w:r>
        <w:rPr>
          <w:highlight w:val="none"/>
        </w:rPr>
        <w:fldChar w:fldCharType="begin"/>
      </w:r>
      <w:r>
        <w:rPr>
          <w:highlight w:val="none"/>
        </w:rPr>
        <w:instrText xml:space="preserve"> PAGEREF _Toc4251 \h </w:instrText>
      </w:r>
      <w:r>
        <w:rPr>
          <w:highlight w:val="none"/>
        </w:rPr>
        <w:fldChar w:fldCharType="separate"/>
      </w:r>
      <w:r>
        <w:rPr>
          <w:highlight w:val="none"/>
        </w:rPr>
        <w:t>22</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3DC50A35">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_Toc6076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8.比选申请纪律要求</w:t>
      </w:r>
      <w:r>
        <w:rPr>
          <w:highlight w:val="none"/>
        </w:rPr>
        <w:tab/>
      </w:r>
      <w:r>
        <w:rPr>
          <w:highlight w:val="none"/>
        </w:rPr>
        <w:fldChar w:fldCharType="begin"/>
      </w:r>
      <w:r>
        <w:rPr>
          <w:highlight w:val="none"/>
        </w:rPr>
        <w:instrText xml:space="preserve"> PAGEREF _Toc6076 \h </w:instrText>
      </w:r>
      <w:r>
        <w:rPr>
          <w:highlight w:val="none"/>
        </w:rPr>
        <w:fldChar w:fldCharType="separate"/>
      </w:r>
      <w:r>
        <w:rPr>
          <w:highlight w:val="none"/>
        </w:rPr>
        <w:t>22</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EC52B86">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_Toc13631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9.资金支付</w:t>
      </w:r>
      <w:r>
        <w:rPr>
          <w:highlight w:val="none"/>
        </w:rPr>
        <w:tab/>
      </w:r>
      <w:r>
        <w:rPr>
          <w:highlight w:val="none"/>
        </w:rPr>
        <w:fldChar w:fldCharType="begin"/>
      </w:r>
      <w:r>
        <w:rPr>
          <w:highlight w:val="none"/>
        </w:rPr>
        <w:instrText xml:space="preserve"> PAGEREF _Toc13631 \h </w:instrText>
      </w:r>
      <w:r>
        <w:rPr>
          <w:highlight w:val="none"/>
        </w:rPr>
        <w:fldChar w:fldCharType="separate"/>
      </w:r>
      <w:r>
        <w:rPr>
          <w:highlight w:val="none"/>
        </w:rPr>
        <w:t>23</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36897B57">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_Toc1520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10.监督部门</w:t>
      </w:r>
      <w:r>
        <w:rPr>
          <w:highlight w:val="none"/>
        </w:rPr>
        <w:tab/>
      </w:r>
      <w:r>
        <w:rPr>
          <w:highlight w:val="none"/>
        </w:rPr>
        <w:fldChar w:fldCharType="begin"/>
      </w:r>
      <w:r>
        <w:rPr>
          <w:highlight w:val="none"/>
        </w:rPr>
        <w:instrText xml:space="preserve"> PAGEREF _Toc1520 \h </w:instrText>
      </w:r>
      <w:r>
        <w:rPr>
          <w:highlight w:val="none"/>
        </w:rPr>
        <w:fldChar w:fldCharType="separate"/>
      </w:r>
      <w:r>
        <w:rPr>
          <w:highlight w:val="none"/>
        </w:rPr>
        <w:t>23</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6452C7F">
      <w:pPr>
        <w:pStyle w:val="29"/>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_Toc4706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第四章  比选办法</w:t>
      </w:r>
      <w:r>
        <w:rPr>
          <w:highlight w:val="none"/>
        </w:rPr>
        <w:tab/>
      </w:r>
      <w:r>
        <w:rPr>
          <w:highlight w:val="none"/>
        </w:rPr>
        <w:fldChar w:fldCharType="begin"/>
      </w:r>
      <w:r>
        <w:rPr>
          <w:highlight w:val="none"/>
        </w:rPr>
        <w:instrText xml:space="preserve"> PAGEREF _Toc4706 \h </w:instrText>
      </w:r>
      <w:r>
        <w:rPr>
          <w:highlight w:val="none"/>
        </w:rPr>
        <w:fldChar w:fldCharType="separate"/>
      </w:r>
      <w:r>
        <w:rPr>
          <w:highlight w:val="none"/>
        </w:rPr>
        <w:t>24</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615CE5A0">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_Toc31584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1. 总 则</w:t>
      </w:r>
      <w:r>
        <w:rPr>
          <w:highlight w:val="none"/>
        </w:rPr>
        <w:tab/>
      </w:r>
      <w:r>
        <w:rPr>
          <w:highlight w:val="none"/>
        </w:rPr>
        <w:fldChar w:fldCharType="begin"/>
      </w:r>
      <w:r>
        <w:rPr>
          <w:highlight w:val="none"/>
        </w:rPr>
        <w:instrText xml:space="preserve"> PAGEREF _Toc31584 \h </w:instrText>
      </w:r>
      <w:r>
        <w:rPr>
          <w:highlight w:val="none"/>
        </w:rPr>
        <w:fldChar w:fldCharType="separate"/>
      </w:r>
      <w:r>
        <w:rPr>
          <w:highlight w:val="none"/>
        </w:rPr>
        <w:t>24</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00B0938">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_Toc20668 </w:instrText>
      </w:r>
      <w:r>
        <w:rPr>
          <w:rFonts w:hint="eastAsia" w:ascii="方正小标宋简体" w:hAnsi="方正小标宋简体" w:eastAsia="方正小标宋简体" w:cs="方正小标宋简体"/>
          <w:bCs/>
          <w:szCs w:val="30"/>
          <w:highlight w:val="none"/>
        </w:rPr>
        <w:fldChar w:fldCharType="separate"/>
      </w:r>
      <w:r>
        <w:rPr>
          <w:highlight w:val="none"/>
        </w:rPr>
        <w:t xml:space="preserve">2. </w:t>
      </w:r>
      <w:r>
        <w:rPr>
          <w:rFonts w:hint="eastAsia"/>
          <w:highlight w:val="none"/>
        </w:rPr>
        <w:t>比选程序</w:t>
      </w:r>
      <w:r>
        <w:rPr>
          <w:highlight w:val="none"/>
        </w:rPr>
        <w:tab/>
      </w:r>
      <w:r>
        <w:rPr>
          <w:highlight w:val="none"/>
        </w:rPr>
        <w:fldChar w:fldCharType="begin"/>
      </w:r>
      <w:r>
        <w:rPr>
          <w:highlight w:val="none"/>
        </w:rPr>
        <w:instrText xml:space="preserve"> PAGEREF _Toc20668 \h </w:instrText>
      </w:r>
      <w:r>
        <w:rPr>
          <w:highlight w:val="none"/>
        </w:rPr>
        <w:fldChar w:fldCharType="separate"/>
      </w:r>
      <w:r>
        <w:rPr>
          <w:highlight w:val="none"/>
        </w:rPr>
        <w:t>24</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60D5AF2">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_Toc32176 </w:instrText>
      </w:r>
      <w:r>
        <w:rPr>
          <w:rFonts w:hint="eastAsia" w:ascii="方正小标宋简体" w:hAnsi="方正小标宋简体" w:eastAsia="方正小标宋简体" w:cs="方正小标宋简体"/>
          <w:bCs/>
          <w:szCs w:val="30"/>
          <w:highlight w:val="none"/>
        </w:rPr>
        <w:fldChar w:fldCharType="separate"/>
      </w:r>
      <w:r>
        <w:rPr>
          <w:highlight w:val="none"/>
        </w:rPr>
        <w:t xml:space="preserve">3. </w:t>
      </w:r>
      <w:r>
        <w:rPr>
          <w:rFonts w:hint="eastAsia"/>
          <w:highlight w:val="none"/>
        </w:rPr>
        <w:t>比选申请文件初审</w:t>
      </w:r>
      <w:r>
        <w:rPr>
          <w:highlight w:val="none"/>
        </w:rPr>
        <w:tab/>
      </w:r>
      <w:r>
        <w:rPr>
          <w:highlight w:val="none"/>
        </w:rPr>
        <w:fldChar w:fldCharType="begin"/>
      </w:r>
      <w:r>
        <w:rPr>
          <w:highlight w:val="none"/>
        </w:rPr>
        <w:instrText xml:space="preserve"> PAGEREF _Toc32176 \h </w:instrText>
      </w:r>
      <w:r>
        <w:rPr>
          <w:highlight w:val="none"/>
        </w:rPr>
        <w:fldChar w:fldCharType="separate"/>
      </w:r>
      <w:r>
        <w:rPr>
          <w:highlight w:val="none"/>
        </w:rPr>
        <w:t>24</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151E9104">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_Toc13361 </w:instrText>
      </w:r>
      <w:r>
        <w:rPr>
          <w:rFonts w:hint="eastAsia" w:ascii="方正小标宋简体" w:hAnsi="方正小标宋简体" w:eastAsia="方正小标宋简体" w:cs="方正小标宋简体"/>
          <w:bCs/>
          <w:szCs w:val="30"/>
          <w:highlight w:val="none"/>
        </w:rPr>
        <w:fldChar w:fldCharType="separate"/>
      </w:r>
      <w:r>
        <w:rPr>
          <w:highlight w:val="none"/>
        </w:rPr>
        <w:t xml:space="preserve">4. </w:t>
      </w:r>
      <w:r>
        <w:rPr>
          <w:rFonts w:hint="eastAsia"/>
          <w:highlight w:val="none"/>
        </w:rPr>
        <w:t>详细评审</w:t>
      </w:r>
      <w:r>
        <w:rPr>
          <w:highlight w:val="none"/>
        </w:rPr>
        <w:tab/>
      </w:r>
      <w:r>
        <w:rPr>
          <w:highlight w:val="none"/>
        </w:rPr>
        <w:fldChar w:fldCharType="begin"/>
      </w:r>
      <w:r>
        <w:rPr>
          <w:highlight w:val="none"/>
        </w:rPr>
        <w:instrText xml:space="preserve"> PAGEREF _Toc13361 \h </w:instrText>
      </w:r>
      <w:r>
        <w:rPr>
          <w:highlight w:val="none"/>
        </w:rPr>
        <w:fldChar w:fldCharType="separate"/>
      </w:r>
      <w:r>
        <w:rPr>
          <w:highlight w:val="none"/>
        </w:rPr>
        <w:t>26</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B61BCEF">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_Toc19271 </w:instrText>
      </w:r>
      <w:r>
        <w:rPr>
          <w:rFonts w:hint="eastAsia" w:ascii="方正小标宋简体" w:hAnsi="方正小标宋简体" w:eastAsia="方正小标宋简体" w:cs="方正小标宋简体"/>
          <w:bCs/>
          <w:szCs w:val="30"/>
          <w:highlight w:val="none"/>
        </w:rPr>
        <w:fldChar w:fldCharType="separate"/>
      </w:r>
      <w:r>
        <w:rPr>
          <w:highlight w:val="none"/>
        </w:rPr>
        <w:t xml:space="preserve">5. </w:t>
      </w:r>
      <w:r>
        <w:rPr>
          <w:rFonts w:hint="eastAsia"/>
          <w:highlight w:val="none"/>
        </w:rPr>
        <w:t>计算错误的修正</w:t>
      </w:r>
      <w:r>
        <w:rPr>
          <w:highlight w:val="none"/>
        </w:rPr>
        <w:tab/>
      </w:r>
      <w:r>
        <w:rPr>
          <w:highlight w:val="none"/>
        </w:rPr>
        <w:fldChar w:fldCharType="begin"/>
      </w:r>
      <w:r>
        <w:rPr>
          <w:highlight w:val="none"/>
        </w:rPr>
        <w:instrText xml:space="preserve"> PAGEREF _Toc19271 \h </w:instrText>
      </w:r>
      <w:r>
        <w:rPr>
          <w:highlight w:val="none"/>
        </w:rPr>
        <w:fldChar w:fldCharType="separate"/>
      </w:r>
      <w:r>
        <w:rPr>
          <w:highlight w:val="none"/>
        </w:rPr>
        <w:t>28</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2A6A07F5">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_Toc15912 </w:instrText>
      </w:r>
      <w:r>
        <w:rPr>
          <w:rFonts w:hint="eastAsia" w:ascii="方正小标宋简体" w:hAnsi="方正小标宋简体" w:eastAsia="方正小标宋简体" w:cs="方正小标宋简体"/>
          <w:bCs/>
          <w:szCs w:val="30"/>
          <w:highlight w:val="none"/>
        </w:rPr>
        <w:fldChar w:fldCharType="separate"/>
      </w:r>
      <w:r>
        <w:rPr>
          <w:highlight w:val="none"/>
        </w:rPr>
        <w:t xml:space="preserve">6. </w:t>
      </w:r>
      <w:r>
        <w:rPr>
          <w:rFonts w:hint="eastAsia"/>
          <w:highlight w:val="none"/>
        </w:rPr>
        <w:t>比选</w:t>
      </w:r>
      <w:r>
        <w:rPr>
          <w:highlight w:val="none"/>
        </w:rPr>
        <w:t>结果</w:t>
      </w:r>
      <w:r>
        <w:rPr>
          <w:highlight w:val="none"/>
        </w:rPr>
        <w:tab/>
      </w:r>
      <w:r>
        <w:rPr>
          <w:highlight w:val="none"/>
        </w:rPr>
        <w:fldChar w:fldCharType="begin"/>
      </w:r>
      <w:r>
        <w:rPr>
          <w:highlight w:val="none"/>
        </w:rPr>
        <w:instrText xml:space="preserve"> PAGEREF _Toc15912 \h </w:instrText>
      </w:r>
      <w:r>
        <w:rPr>
          <w:highlight w:val="none"/>
        </w:rPr>
        <w:fldChar w:fldCharType="separate"/>
      </w:r>
      <w:r>
        <w:rPr>
          <w:highlight w:val="none"/>
        </w:rPr>
        <w:t>29</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0E9B3ABC">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_Toc17735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7. 比选</w:t>
      </w:r>
      <w:r>
        <w:rPr>
          <w:rFonts w:hint="eastAsia"/>
          <w:highlight w:val="none"/>
          <w:lang w:val="en-US" w:eastAsia="zh-CN"/>
        </w:rPr>
        <w:t>委员会</w:t>
      </w:r>
      <w:r>
        <w:rPr>
          <w:rFonts w:hint="eastAsia"/>
          <w:highlight w:val="none"/>
        </w:rPr>
        <w:t>在比选活动中承担以下义务</w:t>
      </w:r>
      <w:r>
        <w:rPr>
          <w:highlight w:val="none"/>
        </w:rPr>
        <w:tab/>
      </w:r>
      <w:r>
        <w:rPr>
          <w:highlight w:val="none"/>
        </w:rPr>
        <w:fldChar w:fldCharType="begin"/>
      </w:r>
      <w:r>
        <w:rPr>
          <w:highlight w:val="none"/>
        </w:rPr>
        <w:instrText xml:space="preserve"> PAGEREF _Toc17735 \h </w:instrText>
      </w:r>
      <w:r>
        <w:rPr>
          <w:highlight w:val="none"/>
        </w:rPr>
        <w:fldChar w:fldCharType="separate"/>
      </w:r>
      <w:r>
        <w:rPr>
          <w:highlight w:val="none"/>
        </w:rPr>
        <w:t>29</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23372E39">
      <w:pPr>
        <w:pStyle w:val="29"/>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_Toc14354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 xml:space="preserve">第五章 </w:t>
      </w:r>
      <w:r>
        <w:rPr>
          <w:highlight w:val="none"/>
        </w:rPr>
        <w:t>合同条款及格式</w:t>
      </w:r>
      <w:r>
        <w:rPr>
          <w:highlight w:val="none"/>
        </w:rPr>
        <w:tab/>
      </w:r>
      <w:r>
        <w:rPr>
          <w:highlight w:val="none"/>
        </w:rPr>
        <w:fldChar w:fldCharType="begin"/>
      </w:r>
      <w:r>
        <w:rPr>
          <w:highlight w:val="none"/>
        </w:rPr>
        <w:instrText xml:space="preserve"> PAGEREF _Toc14354 \h </w:instrText>
      </w:r>
      <w:r>
        <w:rPr>
          <w:highlight w:val="none"/>
        </w:rPr>
        <w:fldChar w:fldCharType="separate"/>
      </w:r>
      <w:r>
        <w:rPr>
          <w:highlight w:val="none"/>
        </w:rPr>
        <w:t>30</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626973B9">
      <w:pPr>
        <w:pStyle w:val="29"/>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_Toc4333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第六章  比选申请文件格式</w:t>
      </w:r>
      <w:r>
        <w:rPr>
          <w:highlight w:val="none"/>
        </w:rPr>
        <w:tab/>
      </w:r>
      <w:r>
        <w:rPr>
          <w:highlight w:val="none"/>
        </w:rPr>
        <w:fldChar w:fldCharType="begin"/>
      </w:r>
      <w:r>
        <w:rPr>
          <w:highlight w:val="none"/>
        </w:rPr>
        <w:instrText xml:space="preserve"> PAGEREF _Toc4333 \h </w:instrText>
      </w:r>
      <w:r>
        <w:rPr>
          <w:highlight w:val="none"/>
        </w:rPr>
        <w:fldChar w:fldCharType="separate"/>
      </w:r>
      <w:r>
        <w:rPr>
          <w:highlight w:val="none"/>
        </w:rPr>
        <w:t>36</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1A475901">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_Toc21911 </w:instrText>
      </w:r>
      <w:r>
        <w:rPr>
          <w:rFonts w:hint="eastAsia" w:ascii="方正小标宋简体" w:hAnsi="方正小标宋简体" w:eastAsia="方正小标宋简体" w:cs="方正小标宋简体"/>
          <w:bCs/>
          <w:szCs w:val="30"/>
          <w:highlight w:val="none"/>
        </w:rPr>
        <w:fldChar w:fldCharType="separate"/>
      </w:r>
      <w:r>
        <w:rPr>
          <w:rFonts w:hint="eastAsia" w:hAnsi="宋体"/>
          <w:highlight w:val="none"/>
        </w:rPr>
        <w:t>一、</w:t>
      </w:r>
      <w:r>
        <w:rPr>
          <w:rFonts w:hint="eastAsia"/>
          <w:highlight w:val="none"/>
        </w:rPr>
        <w:t>比选申请承诺函</w:t>
      </w:r>
      <w:r>
        <w:rPr>
          <w:highlight w:val="none"/>
        </w:rPr>
        <w:tab/>
      </w:r>
      <w:r>
        <w:rPr>
          <w:highlight w:val="none"/>
        </w:rPr>
        <w:fldChar w:fldCharType="begin"/>
      </w:r>
      <w:r>
        <w:rPr>
          <w:highlight w:val="none"/>
        </w:rPr>
        <w:instrText xml:space="preserve"> PAGEREF _Toc21911 \h </w:instrText>
      </w:r>
      <w:r>
        <w:rPr>
          <w:highlight w:val="none"/>
        </w:rPr>
        <w:fldChar w:fldCharType="separate"/>
      </w:r>
      <w:r>
        <w:rPr>
          <w:highlight w:val="none"/>
        </w:rPr>
        <w:t>38</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0DB8883A">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_Toc12567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二、比选申请函</w:t>
      </w:r>
      <w:r>
        <w:rPr>
          <w:highlight w:val="none"/>
        </w:rPr>
        <w:tab/>
      </w:r>
      <w:r>
        <w:rPr>
          <w:highlight w:val="none"/>
        </w:rPr>
        <w:fldChar w:fldCharType="begin"/>
      </w:r>
      <w:r>
        <w:rPr>
          <w:highlight w:val="none"/>
        </w:rPr>
        <w:instrText xml:space="preserve"> PAGEREF _Toc12567 \h </w:instrText>
      </w:r>
      <w:r>
        <w:rPr>
          <w:highlight w:val="none"/>
        </w:rPr>
        <w:fldChar w:fldCharType="separate"/>
      </w:r>
      <w:r>
        <w:rPr>
          <w:highlight w:val="none"/>
        </w:rPr>
        <w:t>39</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6156E365">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_Toc7314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三</w:t>
      </w:r>
      <w:r>
        <w:rPr>
          <w:highlight w:val="none"/>
        </w:rPr>
        <w:t>、法定代表人身份证明及授权委托书</w:t>
      </w:r>
      <w:r>
        <w:rPr>
          <w:highlight w:val="none"/>
        </w:rPr>
        <w:tab/>
      </w:r>
      <w:r>
        <w:rPr>
          <w:highlight w:val="none"/>
        </w:rPr>
        <w:fldChar w:fldCharType="begin"/>
      </w:r>
      <w:r>
        <w:rPr>
          <w:highlight w:val="none"/>
        </w:rPr>
        <w:instrText xml:space="preserve"> PAGEREF _Toc7314 \h </w:instrText>
      </w:r>
      <w:r>
        <w:rPr>
          <w:highlight w:val="none"/>
        </w:rPr>
        <w:fldChar w:fldCharType="separate"/>
      </w:r>
      <w:r>
        <w:rPr>
          <w:highlight w:val="none"/>
        </w:rPr>
        <w:t>40</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E3297CD">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_Toc12509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四、比选申请保证金</w:t>
      </w:r>
      <w:r>
        <w:rPr>
          <w:highlight w:val="none"/>
        </w:rPr>
        <w:tab/>
      </w:r>
      <w:r>
        <w:rPr>
          <w:highlight w:val="none"/>
        </w:rPr>
        <w:fldChar w:fldCharType="begin"/>
      </w:r>
      <w:r>
        <w:rPr>
          <w:highlight w:val="none"/>
        </w:rPr>
        <w:instrText xml:space="preserve"> PAGEREF _Toc12509 \h </w:instrText>
      </w:r>
      <w:r>
        <w:rPr>
          <w:highlight w:val="none"/>
        </w:rPr>
        <w:fldChar w:fldCharType="separate"/>
      </w:r>
      <w:r>
        <w:rPr>
          <w:highlight w:val="none"/>
        </w:rPr>
        <w:t>42</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18A5499E">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_Toc15804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五、资格证明文件</w:t>
      </w:r>
      <w:r>
        <w:rPr>
          <w:highlight w:val="none"/>
        </w:rPr>
        <w:tab/>
      </w:r>
      <w:r>
        <w:rPr>
          <w:highlight w:val="none"/>
        </w:rPr>
        <w:fldChar w:fldCharType="begin"/>
      </w:r>
      <w:r>
        <w:rPr>
          <w:highlight w:val="none"/>
        </w:rPr>
        <w:instrText xml:space="preserve"> PAGEREF _Toc15804 \h </w:instrText>
      </w:r>
      <w:r>
        <w:rPr>
          <w:highlight w:val="none"/>
        </w:rPr>
        <w:fldChar w:fldCharType="separate"/>
      </w:r>
      <w:r>
        <w:rPr>
          <w:highlight w:val="none"/>
        </w:rPr>
        <w:t>43</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48990D3C">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_Toc4111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六、项目报价表</w:t>
      </w:r>
      <w:r>
        <w:rPr>
          <w:highlight w:val="none"/>
        </w:rPr>
        <w:tab/>
      </w:r>
      <w:r>
        <w:rPr>
          <w:highlight w:val="none"/>
        </w:rPr>
        <w:fldChar w:fldCharType="begin"/>
      </w:r>
      <w:r>
        <w:rPr>
          <w:highlight w:val="none"/>
        </w:rPr>
        <w:instrText xml:space="preserve"> PAGEREF _Toc4111 \h </w:instrText>
      </w:r>
      <w:r>
        <w:rPr>
          <w:highlight w:val="none"/>
        </w:rPr>
        <w:fldChar w:fldCharType="separate"/>
      </w:r>
      <w:r>
        <w:rPr>
          <w:highlight w:val="none"/>
        </w:rPr>
        <w:t>44</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0715EDD2">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_Toc27570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七、比选申请人基本情况表</w:t>
      </w:r>
      <w:r>
        <w:rPr>
          <w:highlight w:val="none"/>
        </w:rPr>
        <w:tab/>
      </w:r>
      <w:r>
        <w:rPr>
          <w:highlight w:val="none"/>
        </w:rPr>
        <w:fldChar w:fldCharType="begin"/>
      </w:r>
      <w:r>
        <w:rPr>
          <w:highlight w:val="none"/>
        </w:rPr>
        <w:instrText xml:space="preserve"> PAGEREF _Toc27570 \h </w:instrText>
      </w:r>
      <w:r>
        <w:rPr>
          <w:highlight w:val="none"/>
        </w:rPr>
        <w:fldChar w:fldCharType="separate"/>
      </w:r>
      <w:r>
        <w:rPr>
          <w:highlight w:val="none"/>
        </w:rPr>
        <w:t>48</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26E0EB28">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_Toc26784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八、业绩证明</w:t>
      </w:r>
      <w:r>
        <w:rPr>
          <w:highlight w:val="none"/>
        </w:rPr>
        <w:tab/>
      </w:r>
      <w:r>
        <w:rPr>
          <w:highlight w:val="none"/>
        </w:rPr>
        <w:fldChar w:fldCharType="begin"/>
      </w:r>
      <w:r>
        <w:rPr>
          <w:highlight w:val="none"/>
        </w:rPr>
        <w:instrText xml:space="preserve"> PAGEREF _Toc26784 \h </w:instrText>
      </w:r>
      <w:r>
        <w:rPr>
          <w:highlight w:val="none"/>
        </w:rPr>
        <w:fldChar w:fldCharType="separate"/>
      </w:r>
      <w:r>
        <w:rPr>
          <w:highlight w:val="none"/>
        </w:rPr>
        <w:t>49</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20980E7D">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_Toc27462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九、项目人员资历证明</w:t>
      </w:r>
      <w:r>
        <w:rPr>
          <w:highlight w:val="none"/>
        </w:rPr>
        <w:tab/>
      </w:r>
      <w:r>
        <w:rPr>
          <w:highlight w:val="none"/>
        </w:rPr>
        <w:fldChar w:fldCharType="begin"/>
      </w:r>
      <w:r>
        <w:rPr>
          <w:highlight w:val="none"/>
        </w:rPr>
        <w:instrText xml:space="preserve"> PAGEREF _Toc27462 \h </w:instrText>
      </w:r>
      <w:r>
        <w:rPr>
          <w:highlight w:val="none"/>
        </w:rPr>
        <w:fldChar w:fldCharType="separate"/>
      </w:r>
      <w:r>
        <w:rPr>
          <w:highlight w:val="none"/>
        </w:rPr>
        <w:t>50</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14C3AA03">
      <w:pPr>
        <w:pStyle w:val="34"/>
        <w:tabs>
          <w:tab w:val="right" w:leader="dot" w:pos="8306"/>
        </w:tabs>
        <w:rPr>
          <w:highlight w:val="none"/>
        </w:rPr>
      </w:pPr>
      <w:r>
        <w:rPr>
          <w:rFonts w:hint="eastAsia" w:ascii="方正小标宋简体" w:hAnsi="方正小标宋简体" w:eastAsia="方正小标宋简体" w:cs="方正小标宋简体"/>
          <w:bCs/>
          <w:szCs w:val="30"/>
          <w:highlight w:val="none"/>
        </w:rPr>
        <w:fldChar w:fldCharType="begin"/>
      </w:r>
      <w:r>
        <w:rPr>
          <w:rFonts w:hint="eastAsia" w:ascii="方正小标宋简体" w:hAnsi="方正小标宋简体" w:eastAsia="方正小标宋简体" w:cs="方正小标宋简体"/>
          <w:bCs/>
          <w:szCs w:val="30"/>
          <w:highlight w:val="none"/>
        </w:rPr>
        <w:instrText xml:space="preserve"> HYPERLINK \l _Toc15412 </w:instrText>
      </w:r>
      <w:r>
        <w:rPr>
          <w:rFonts w:hint="eastAsia" w:ascii="方正小标宋简体" w:hAnsi="方正小标宋简体" w:eastAsia="方正小标宋简体" w:cs="方正小标宋简体"/>
          <w:bCs/>
          <w:szCs w:val="30"/>
          <w:highlight w:val="none"/>
        </w:rPr>
        <w:fldChar w:fldCharType="separate"/>
      </w:r>
      <w:r>
        <w:rPr>
          <w:rFonts w:hint="eastAsia"/>
          <w:highlight w:val="none"/>
        </w:rPr>
        <w:t>十</w:t>
      </w:r>
      <w:r>
        <w:rPr>
          <w:highlight w:val="none"/>
        </w:rPr>
        <w:t>、</w:t>
      </w:r>
      <w:r>
        <w:rPr>
          <w:rFonts w:hint="eastAsia"/>
          <w:highlight w:val="none"/>
        </w:rPr>
        <w:t>项目实施方案</w:t>
      </w:r>
      <w:r>
        <w:rPr>
          <w:highlight w:val="none"/>
        </w:rPr>
        <w:tab/>
      </w:r>
      <w:r>
        <w:rPr>
          <w:highlight w:val="none"/>
        </w:rPr>
        <w:fldChar w:fldCharType="begin"/>
      </w:r>
      <w:r>
        <w:rPr>
          <w:highlight w:val="none"/>
        </w:rPr>
        <w:instrText xml:space="preserve"> PAGEREF _Toc15412 \h </w:instrText>
      </w:r>
      <w:r>
        <w:rPr>
          <w:highlight w:val="none"/>
        </w:rPr>
        <w:fldChar w:fldCharType="separate"/>
      </w:r>
      <w:r>
        <w:rPr>
          <w:highlight w:val="none"/>
        </w:rPr>
        <w:t>51</w:t>
      </w:r>
      <w:r>
        <w:rPr>
          <w:highlight w:val="none"/>
        </w:rPr>
        <w:fldChar w:fldCharType="end"/>
      </w:r>
      <w:r>
        <w:rPr>
          <w:rFonts w:hint="eastAsia" w:ascii="方正小标宋简体" w:hAnsi="方正小标宋简体" w:eastAsia="方正小标宋简体" w:cs="方正小标宋简体"/>
          <w:bCs/>
          <w:szCs w:val="30"/>
          <w:highlight w:val="none"/>
        </w:rPr>
        <w:fldChar w:fldCharType="end"/>
      </w:r>
    </w:p>
    <w:p w14:paraId="72AE48A3">
      <w:pPr>
        <w:pStyle w:val="42"/>
        <w:spacing w:line="288" w:lineRule="auto"/>
        <w:ind w:left="0" w:leftChars="0" w:firstLine="0" w:firstLineChars="0"/>
        <w:jc w:val="both"/>
        <w:rPr>
          <w:rFonts w:ascii="方正小标宋简体" w:hAnsi="方正小标宋简体" w:eastAsia="方正小标宋简体" w:cs="方正小标宋简体"/>
          <w:bCs/>
          <w:szCs w:val="30"/>
          <w:highlight w:val="none"/>
        </w:rPr>
      </w:pPr>
      <w:r>
        <w:rPr>
          <w:rFonts w:hint="eastAsia" w:ascii="方正小标宋简体" w:hAnsi="方正小标宋简体" w:eastAsia="方正小标宋简体" w:cs="方正小标宋简体"/>
          <w:bCs/>
          <w:szCs w:val="30"/>
          <w:highlight w:val="none"/>
        </w:rPr>
        <w:fldChar w:fldCharType="end"/>
      </w:r>
      <w:bookmarkStart w:id="2" w:name="_Hlt101233737"/>
      <w:bookmarkEnd w:id="2"/>
      <w:bookmarkStart w:id="3" w:name="_Hlt101843627"/>
      <w:bookmarkEnd w:id="3"/>
    </w:p>
    <w:p w14:paraId="54F32850">
      <w:pPr>
        <w:pStyle w:val="42"/>
        <w:spacing w:line="288" w:lineRule="auto"/>
        <w:ind w:firstLine="640"/>
        <w:jc w:val="center"/>
        <w:rPr>
          <w:rFonts w:ascii="方正小标宋简体" w:hAnsi="方正小标宋简体" w:eastAsia="方正小标宋简体" w:cs="方正小标宋简体"/>
          <w:bCs/>
          <w:szCs w:val="30"/>
          <w:highlight w:val="none"/>
        </w:rPr>
      </w:pPr>
    </w:p>
    <w:p w14:paraId="792A4839">
      <w:pPr>
        <w:pStyle w:val="42"/>
        <w:spacing w:line="288" w:lineRule="auto"/>
        <w:ind w:firstLine="640"/>
        <w:jc w:val="center"/>
        <w:rPr>
          <w:rFonts w:ascii="方正小标宋简体" w:hAnsi="方正小标宋简体" w:eastAsia="方正小标宋简体" w:cs="方正小标宋简体"/>
          <w:bCs/>
          <w:szCs w:val="30"/>
          <w:highlight w:val="none"/>
        </w:rPr>
      </w:pPr>
    </w:p>
    <w:p w14:paraId="59A61CD3">
      <w:pPr>
        <w:pStyle w:val="42"/>
        <w:spacing w:line="288" w:lineRule="auto"/>
        <w:ind w:firstLine="640"/>
        <w:jc w:val="center"/>
        <w:rPr>
          <w:rFonts w:ascii="方正小标宋简体" w:hAnsi="方正小标宋简体" w:eastAsia="方正小标宋简体" w:cs="方正小标宋简体"/>
          <w:bCs/>
          <w:szCs w:val="30"/>
          <w:highlight w:val="none"/>
        </w:rPr>
      </w:pPr>
    </w:p>
    <w:p w14:paraId="38DAA736">
      <w:pPr>
        <w:pStyle w:val="42"/>
        <w:spacing w:line="288" w:lineRule="auto"/>
        <w:ind w:firstLine="640"/>
        <w:jc w:val="center"/>
        <w:rPr>
          <w:rFonts w:ascii="方正小标宋简体" w:hAnsi="方正小标宋简体" w:eastAsia="方正小标宋简体" w:cs="方正小标宋简体"/>
          <w:bCs/>
          <w:szCs w:val="30"/>
          <w:highlight w:val="none"/>
        </w:rPr>
      </w:pPr>
    </w:p>
    <w:p w14:paraId="58B770CE">
      <w:pPr>
        <w:pStyle w:val="42"/>
        <w:spacing w:line="288" w:lineRule="auto"/>
        <w:ind w:firstLine="640"/>
        <w:jc w:val="center"/>
        <w:rPr>
          <w:rFonts w:ascii="方正小标宋简体" w:hAnsi="方正小标宋简体" w:eastAsia="方正小标宋简体" w:cs="方正小标宋简体"/>
          <w:bCs/>
          <w:szCs w:val="30"/>
          <w:highlight w:val="none"/>
        </w:rPr>
      </w:pPr>
    </w:p>
    <w:p w14:paraId="094BB77B">
      <w:pPr>
        <w:pStyle w:val="42"/>
        <w:spacing w:line="288" w:lineRule="auto"/>
        <w:ind w:firstLine="640"/>
        <w:jc w:val="center"/>
        <w:rPr>
          <w:rFonts w:ascii="方正小标宋简体" w:hAnsi="方正小标宋简体" w:eastAsia="方正小标宋简体" w:cs="方正小标宋简体"/>
          <w:bCs/>
          <w:szCs w:val="30"/>
          <w:highlight w:val="none"/>
        </w:rPr>
      </w:pPr>
    </w:p>
    <w:p w14:paraId="14EFE2DE">
      <w:pPr>
        <w:pStyle w:val="42"/>
        <w:spacing w:line="288" w:lineRule="auto"/>
        <w:ind w:firstLine="640"/>
        <w:jc w:val="center"/>
        <w:rPr>
          <w:rFonts w:ascii="方正小标宋简体" w:hAnsi="方正小标宋简体" w:eastAsia="方正小标宋简体" w:cs="方正小标宋简体"/>
          <w:bCs/>
          <w:szCs w:val="30"/>
          <w:highlight w:val="none"/>
        </w:rPr>
      </w:pPr>
    </w:p>
    <w:p w14:paraId="623CC19D">
      <w:pPr>
        <w:pStyle w:val="42"/>
        <w:spacing w:line="288" w:lineRule="auto"/>
        <w:ind w:firstLine="640"/>
        <w:jc w:val="center"/>
        <w:rPr>
          <w:rFonts w:ascii="方正小标宋简体" w:hAnsi="方正小标宋简体" w:eastAsia="方正小标宋简体" w:cs="方正小标宋简体"/>
          <w:bCs/>
          <w:szCs w:val="30"/>
          <w:highlight w:val="none"/>
        </w:rPr>
      </w:pPr>
    </w:p>
    <w:p w14:paraId="261E018B">
      <w:pPr>
        <w:pStyle w:val="42"/>
        <w:spacing w:line="288" w:lineRule="auto"/>
        <w:ind w:firstLine="640"/>
        <w:jc w:val="center"/>
        <w:rPr>
          <w:rFonts w:ascii="方正小标宋简体" w:hAnsi="方正小标宋简体" w:eastAsia="方正小标宋简体" w:cs="方正小标宋简体"/>
          <w:bCs/>
          <w:szCs w:val="30"/>
          <w:highlight w:val="none"/>
        </w:rPr>
      </w:pPr>
    </w:p>
    <w:p w14:paraId="2F689582">
      <w:pPr>
        <w:pStyle w:val="42"/>
        <w:spacing w:line="288" w:lineRule="auto"/>
        <w:ind w:firstLine="640"/>
        <w:jc w:val="center"/>
        <w:rPr>
          <w:rFonts w:ascii="方正小标宋简体" w:hAnsi="方正小标宋简体" w:eastAsia="方正小标宋简体" w:cs="方正小标宋简体"/>
          <w:bCs/>
          <w:szCs w:val="30"/>
          <w:highlight w:val="none"/>
        </w:rPr>
      </w:pPr>
    </w:p>
    <w:p w14:paraId="4789661C">
      <w:pPr>
        <w:pStyle w:val="42"/>
        <w:spacing w:line="288" w:lineRule="auto"/>
        <w:ind w:firstLine="640"/>
        <w:jc w:val="center"/>
        <w:rPr>
          <w:rFonts w:ascii="方正小标宋简体" w:hAnsi="方正小标宋简体" w:eastAsia="方正小标宋简体" w:cs="方正小标宋简体"/>
          <w:bCs/>
          <w:szCs w:val="30"/>
          <w:highlight w:val="none"/>
        </w:rPr>
      </w:pPr>
    </w:p>
    <w:p w14:paraId="50F60E90">
      <w:pPr>
        <w:pStyle w:val="42"/>
        <w:spacing w:line="288" w:lineRule="auto"/>
        <w:ind w:firstLine="640"/>
        <w:jc w:val="center"/>
        <w:rPr>
          <w:rFonts w:ascii="方正小标宋简体" w:hAnsi="方正小标宋简体" w:eastAsia="方正小标宋简体" w:cs="方正小标宋简体"/>
          <w:bCs/>
          <w:szCs w:val="30"/>
          <w:highlight w:val="none"/>
        </w:rPr>
      </w:pPr>
    </w:p>
    <w:p w14:paraId="71BFC81B">
      <w:pPr>
        <w:pStyle w:val="42"/>
        <w:spacing w:line="288" w:lineRule="auto"/>
        <w:ind w:firstLine="640"/>
        <w:jc w:val="center"/>
        <w:rPr>
          <w:rFonts w:ascii="方正小标宋简体" w:hAnsi="方正小标宋简体" w:eastAsia="方正小标宋简体" w:cs="方正小标宋简体"/>
          <w:bCs/>
          <w:szCs w:val="30"/>
          <w:highlight w:val="none"/>
        </w:rPr>
      </w:pPr>
    </w:p>
    <w:p w14:paraId="1F8BE3B6">
      <w:pPr>
        <w:pStyle w:val="42"/>
        <w:spacing w:line="288" w:lineRule="auto"/>
        <w:ind w:firstLine="640"/>
        <w:jc w:val="center"/>
        <w:rPr>
          <w:rFonts w:ascii="方正小标宋简体" w:hAnsi="方正小标宋简体" w:eastAsia="方正小标宋简体" w:cs="方正小标宋简体"/>
          <w:bCs/>
          <w:szCs w:val="30"/>
          <w:highlight w:val="none"/>
        </w:rPr>
      </w:pPr>
    </w:p>
    <w:p w14:paraId="19679FB4">
      <w:pPr>
        <w:pStyle w:val="42"/>
        <w:spacing w:line="288" w:lineRule="auto"/>
        <w:ind w:firstLine="640"/>
        <w:jc w:val="center"/>
        <w:rPr>
          <w:rFonts w:ascii="方正小标宋简体" w:hAnsi="方正小标宋简体" w:eastAsia="方正小标宋简体" w:cs="方正小标宋简体"/>
          <w:bCs/>
          <w:szCs w:val="30"/>
          <w:highlight w:val="none"/>
        </w:rPr>
      </w:pPr>
    </w:p>
    <w:p w14:paraId="454FC4C6">
      <w:pPr>
        <w:pStyle w:val="42"/>
        <w:spacing w:line="288" w:lineRule="auto"/>
        <w:ind w:firstLine="640"/>
        <w:jc w:val="center"/>
        <w:rPr>
          <w:rFonts w:ascii="方正小标宋简体" w:hAnsi="方正小标宋简体" w:eastAsia="方正小标宋简体" w:cs="方正小标宋简体"/>
          <w:bCs/>
          <w:szCs w:val="30"/>
          <w:highlight w:val="none"/>
        </w:rPr>
      </w:pPr>
    </w:p>
    <w:p w14:paraId="0702A3D1">
      <w:pPr>
        <w:pStyle w:val="2"/>
        <w:rPr>
          <w:highlight w:val="none"/>
        </w:rPr>
      </w:pPr>
      <w:bookmarkStart w:id="4" w:name="_Toc22854"/>
      <w:bookmarkStart w:id="5" w:name="_Toc6367"/>
      <w:bookmarkStart w:id="6" w:name="_Toc19476"/>
      <w:bookmarkStart w:id="7" w:name="_Toc278"/>
      <w:bookmarkStart w:id="8" w:name="_Toc28674"/>
      <w:bookmarkStart w:id="9" w:name="_Toc15472"/>
      <w:bookmarkStart w:id="10" w:name="_Toc14794"/>
      <w:bookmarkStart w:id="11" w:name="_Toc25345"/>
      <w:bookmarkStart w:id="12" w:name="_Toc29980"/>
      <w:r>
        <w:rPr>
          <w:rFonts w:hint="eastAsia"/>
          <w:highlight w:val="none"/>
        </w:rPr>
        <w:t>第一章  比选公告</w:t>
      </w:r>
      <w:bookmarkEnd w:id="4"/>
      <w:bookmarkEnd w:id="5"/>
      <w:bookmarkEnd w:id="6"/>
      <w:bookmarkEnd w:id="7"/>
      <w:bookmarkEnd w:id="8"/>
      <w:bookmarkEnd w:id="9"/>
      <w:bookmarkEnd w:id="10"/>
      <w:bookmarkEnd w:id="11"/>
      <w:bookmarkEnd w:id="12"/>
      <w:r>
        <w:rPr>
          <w:rFonts w:hint="eastAsia"/>
          <w:highlight w:val="none"/>
        </w:rPr>
        <w:t xml:space="preserve"> </w:t>
      </w:r>
    </w:p>
    <w:p w14:paraId="4555A9E9">
      <w:pPr>
        <w:numPr>
          <w:ilvl w:val="0"/>
          <w:numId w:val="2"/>
        </w:numPr>
        <w:ind w:right="36" w:firstLine="602"/>
        <w:jc w:val="left"/>
        <w:rPr>
          <w:rFonts w:hAnsi="宋体"/>
          <w:b/>
          <w:bCs/>
          <w:sz w:val="30"/>
          <w:szCs w:val="30"/>
          <w:highlight w:val="none"/>
        </w:rPr>
      </w:pPr>
      <w:r>
        <w:rPr>
          <w:rFonts w:hint="eastAsia" w:hAnsi="宋体"/>
          <w:b/>
          <w:sz w:val="30"/>
          <w:szCs w:val="30"/>
          <w:highlight w:val="none"/>
        </w:rPr>
        <w:t>比选条件：</w:t>
      </w:r>
    </w:p>
    <w:p w14:paraId="3A04760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Ansi="宋体"/>
          <w:bCs/>
          <w:highlight w:val="none"/>
          <w:u w:val="single"/>
        </w:rPr>
      </w:pPr>
      <w:r>
        <w:rPr>
          <w:rFonts w:hint="eastAsia" w:hAnsi="宋体"/>
          <w:highlight w:val="none"/>
        </w:rPr>
        <w:t xml:space="preserve"> </w:t>
      </w:r>
      <w:r>
        <w:rPr>
          <w:rFonts w:hAnsi="宋体"/>
          <w:highlight w:val="none"/>
        </w:rPr>
        <w:t xml:space="preserve"> </w:t>
      </w:r>
      <w:r>
        <w:rPr>
          <w:rFonts w:hint="eastAsia" w:hAnsi="宋体"/>
          <w:highlight w:val="none"/>
        </w:rPr>
        <w:t>本比选项目</w:t>
      </w:r>
      <w:r>
        <w:rPr>
          <w:rFonts w:hint="eastAsia" w:hAnsi="宋体" w:eastAsia="宋体"/>
          <w:sz w:val="24"/>
          <w:highlight w:val="none"/>
          <w:u w:val="none"/>
          <w:lang w:val="en-US" w:eastAsia="zh-CN"/>
        </w:rPr>
        <w:t>都四项目办公网络加固项目</w:t>
      </w:r>
      <w:r>
        <w:rPr>
          <w:rFonts w:hint="eastAsia" w:hAnsi="宋体"/>
          <w:szCs w:val="20"/>
          <w:highlight w:val="none"/>
        </w:rPr>
        <w:t>经</w:t>
      </w:r>
      <w:r>
        <w:rPr>
          <w:rFonts w:hAnsi="宋体"/>
          <w:highlight w:val="none"/>
          <w:u w:val="single"/>
        </w:rPr>
        <w:t>四川都金山地轨道交通有限责任公司</w:t>
      </w:r>
      <w:r>
        <w:rPr>
          <w:rFonts w:hint="eastAsia" w:hAnsi="宋体"/>
          <w:bCs/>
          <w:highlight w:val="none"/>
        </w:rPr>
        <w:t>（以下简称都金公司）核准立项，项目比选人为</w:t>
      </w:r>
      <w:r>
        <w:rPr>
          <w:rFonts w:hAnsi="宋体"/>
          <w:highlight w:val="none"/>
          <w:u w:val="single"/>
        </w:rPr>
        <w:t>四川都金山地轨道交通有限责任公司</w:t>
      </w:r>
      <w:r>
        <w:rPr>
          <w:rFonts w:hint="eastAsia" w:hAnsi="宋体"/>
          <w:bCs/>
          <w:highlight w:val="none"/>
        </w:rPr>
        <w:t>，</w:t>
      </w:r>
      <w:r>
        <w:rPr>
          <w:rFonts w:hint="eastAsia" w:hAnsi="宋体"/>
          <w:szCs w:val="28"/>
          <w:highlight w:val="none"/>
        </w:rPr>
        <w:t>项目资金为</w:t>
      </w:r>
      <w:r>
        <w:rPr>
          <w:rFonts w:hint="eastAsia" w:hAnsi="宋体"/>
          <w:highlight w:val="none"/>
          <w:u w:val="single"/>
        </w:rPr>
        <w:t>自筹资金</w:t>
      </w:r>
      <w:r>
        <w:rPr>
          <w:rFonts w:hint="eastAsia" w:hAnsi="宋体"/>
          <w:highlight w:val="none"/>
        </w:rPr>
        <w:t>。项目已具备比选条件，现对该项目进行公开比选。</w:t>
      </w:r>
    </w:p>
    <w:p w14:paraId="1D8DA1FA">
      <w:pPr>
        <w:numPr>
          <w:ilvl w:val="0"/>
          <w:numId w:val="2"/>
        </w:numPr>
        <w:ind w:right="36" w:firstLine="602"/>
        <w:rPr>
          <w:rFonts w:hAnsi="宋体"/>
          <w:b/>
          <w:bCs/>
          <w:sz w:val="30"/>
          <w:szCs w:val="30"/>
          <w:highlight w:val="none"/>
        </w:rPr>
      </w:pPr>
      <w:r>
        <w:rPr>
          <w:rFonts w:hint="eastAsia" w:hAnsi="宋体"/>
          <w:b/>
          <w:bCs/>
          <w:sz w:val="30"/>
          <w:szCs w:val="30"/>
          <w:highlight w:val="none"/>
        </w:rPr>
        <w:t>项目概况及比选范围</w:t>
      </w:r>
    </w:p>
    <w:p w14:paraId="175147FA">
      <w:pPr>
        <w:keepNext w:val="0"/>
        <w:keepLines w:val="0"/>
        <w:pageBreakBefore w:val="0"/>
        <w:widowControl w:val="0"/>
        <w:numPr>
          <w:ilvl w:val="0"/>
          <w:numId w:val="3"/>
        </w:numPr>
        <w:kinsoku/>
        <w:wordWrap/>
        <w:overflowPunct/>
        <w:topLinePunct w:val="0"/>
        <w:autoSpaceDE/>
        <w:autoSpaceDN/>
        <w:bidi w:val="0"/>
        <w:adjustRightInd/>
        <w:snapToGrid/>
        <w:ind w:left="0" w:leftChars="0" w:firstLine="482" w:firstLineChars="200"/>
        <w:jc w:val="left"/>
        <w:textAlignment w:val="auto"/>
        <w:rPr>
          <w:rFonts w:hint="eastAsia" w:hAnsi="宋体"/>
          <w:b w:val="0"/>
          <w:bCs w:val="0"/>
          <w:highlight w:val="none"/>
        </w:rPr>
      </w:pPr>
      <w:r>
        <w:rPr>
          <w:rFonts w:hint="eastAsia" w:hAnsi="宋体"/>
          <w:b/>
          <w:bCs/>
          <w:highlight w:val="none"/>
        </w:rPr>
        <w:t>项目名称：</w:t>
      </w:r>
      <w:r>
        <w:rPr>
          <w:rFonts w:hint="eastAsia" w:hAnsi="宋体" w:eastAsia="宋体"/>
          <w:sz w:val="24"/>
          <w:highlight w:val="none"/>
          <w:u w:val="none"/>
          <w:lang w:val="en-US" w:eastAsia="zh-CN"/>
        </w:rPr>
        <w:t>都四项目办公网络加固项目</w:t>
      </w:r>
    </w:p>
    <w:p w14:paraId="02808657">
      <w:pPr>
        <w:keepNext w:val="0"/>
        <w:keepLines w:val="0"/>
        <w:pageBreakBefore w:val="0"/>
        <w:widowControl w:val="0"/>
        <w:numPr>
          <w:ilvl w:val="0"/>
          <w:numId w:val="3"/>
        </w:numPr>
        <w:kinsoku/>
        <w:wordWrap/>
        <w:overflowPunct/>
        <w:topLinePunct w:val="0"/>
        <w:autoSpaceDE/>
        <w:autoSpaceDN/>
        <w:bidi w:val="0"/>
        <w:adjustRightInd/>
        <w:snapToGrid/>
        <w:ind w:left="0" w:leftChars="0" w:firstLine="482" w:firstLineChars="200"/>
        <w:jc w:val="left"/>
        <w:textAlignment w:val="auto"/>
        <w:rPr>
          <w:rFonts w:hAnsi="宋体"/>
          <w:bCs/>
          <w:highlight w:val="none"/>
          <w:u w:val="none"/>
        </w:rPr>
      </w:pPr>
      <w:r>
        <w:rPr>
          <w:rFonts w:hint="eastAsia" w:hAnsi="宋体"/>
          <w:b/>
          <w:bCs/>
          <w:highlight w:val="none"/>
        </w:rPr>
        <w:t>项目简介：</w:t>
      </w:r>
      <w:r>
        <w:rPr>
          <w:rFonts w:hint="eastAsia" w:hAnsi="宋体"/>
          <w:b w:val="0"/>
          <w:bCs w:val="0"/>
          <w:highlight w:val="none"/>
        </w:rPr>
        <w:t>为贯彻网络安全保障工作的要求以及解决</w:t>
      </w:r>
      <w:r>
        <w:rPr>
          <w:rFonts w:hAnsi="宋体"/>
          <w:b w:val="0"/>
          <w:bCs w:val="0"/>
          <w:highlight w:val="none"/>
        </w:rPr>
        <w:t>办公区域的网络环境安全隐患</w:t>
      </w:r>
      <w:r>
        <w:rPr>
          <w:rFonts w:hint="eastAsia" w:hAnsi="宋体"/>
          <w:b w:val="0"/>
          <w:bCs w:val="0"/>
          <w:highlight w:val="none"/>
        </w:rPr>
        <w:t>，需要对现有办公网设备进行加固，确保系统的网络安全性，</w:t>
      </w:r>
      <w:r>
        <w:rPr>
          <w:rFonts w:hint="eastAsia" w:hAnsi="宋体"/>
          <w:bCs/>
          <w:highlight w:val="none"/>
          <w:u w:val="none"/>
        </w:rPr>
        <w:t>为解决网络安全运维要求高、专业技术强与专业人员缺乏这一突出矛盾，拟实施网络安全运维服务、办公网设备加固采购项目，现进行公开比选，比选确定服务提供商。</w:t>
      </w:r>
    </w:p>
    <w:p w14:paraId="35B79222">
      <w:pPr>
        <w:keepNext w:val="0"/>
        <w:keepLines w:val="0"/>
        <w:pageBreakBefore w:val="0"/>
        <w:widowControl w:val="0"/>
        <w:numPr>
          <w:ilvl w:val="0"/>
          <w:numId w:val="3"/>
        </w:numPr>
        <w:kinsoku/>
        <w:wordWrap/>
        <w:overflowPunct/>
        <w:topLinePunct w:val="0"/>
        <w:autoSpaceDE/>
        <w:autoSpaceDN/>
        <w:bidi w:val="0"/>
        <w:adjustRightInd/>
        <w:snapToGrid/>
        <w:ind w:left="0" w:leftChars="0" w:firstLine="482" w:firstLineChars="200"/>
        <w:textAlignment w:val="auto"/>
        <w:rPr>
          <w:rFonts w:hAnsi="宋体"/>
          <w:bCs/>
          <w:szCs w:val="22"/>
          <w:highlight w:val="none"/>
        </w:rPr>
      </w:pPr>
      <w:r>
        <w:rPr>
          <w:rFonts w:hint="eastAsia" w:hAnsi="宋体"/>
          <w:b/>
          <w:bCs/>
          <w:szCs w:val="22"/>
          <w:highlight w:val="none"/>
        </w:rPr>
        <w:t>采购内容：</w:t>
      </w:r>
      <w:r>
        <w:rPr>
          <w:rFonts w:hint="eastAsia" w:hAnsi="宋体" w:cs="宋体"/>
          <w:szCs w:val="24"/>
          <w:highlight w:val="none"/>
        </w:rPr>
        <w:t>具体详见本文件第四章比选需求</w:t>
      </w:r>
      <w:r>
        <w:rPr>
          <w:rFonts w:hint="eastAsia" w:hAnsi="宋体"/>
          <w:szCs w:val="22"/>
          <w:highlight w:val="none"/>
        </w:rPr>
        <w:t>。</w:t>
      </w:r>
    </w:p>
    <w:p w14:paraId="1134EB67">
      <w:pPr>
        <w:keepNext w:val="0"/>
        <w:keepLines w:val="0"/>
        <w:pageBreakBefore w:val="0"/>
        <w:widowControl w:val="0"/>
        <w:numPr>
          <w:ilvl w:val="0"/>
          <w:numId w:val="3"/>
        </w:numPr>
        <w:kinsoku/>
        <w:wordWrap/>
        <w:overflowPunct/>
        <w:topLinePunct w:val="0"/>
        <w:autoSpaceDE/>
        <w:autoSpaceDN/>
        <w:bidi w:val="0"/>
        <w:adjustRightInd/>
        <w:snapToGrid/>
        <w:ind w:left="0" w:leftChars="0" w:firstLine="482" w:firstLineChars="200"/>
        <w:textAlignment w:val="auto"/>
        <w:rPr>
          <w:rFonts w:hAnsi="宋体"/>
          <w:bCs/>
          <w:szCs w:val="22"/>
          <w:highlight w:val="none"/>
        </w:rPr>
      </w:pPr>
      <w:r>
        <w:rPr>
          <w:rFonts w:hint="eastAsia" w:hAnsi="宋体"/>
          <w:b/>
          <w:bCs/>
          <w:szCs w:val="22"/>
          <w:highlight w:val="none"/>
        </w:rPr>
        <w:t>工期要求：</w:t>
      </w:r>
      <w:r>
        <w:rPr>
          <w:rFonts w:hint="eastAsia" w:ascii="宋体" w:hAnsi="宋体"/>
          <w:szCs w:val="22"/>
          <w:highlight w:val="none"/>
        </w:rPr>
        <w:t>自合同签订之日起，</w:t>
      </w:r>
      <w:r>
        <w:rPr>
          <w:rFonts w:hint="eastAsia" w:hAnsi="宋体" w:cs="宋体"/>
          <w:szCs w:val="24"/>
          <w:highlight w:val="none"/>
        </w:rPr>
        <w:t>30日历天内完成办公网设备加固的交付</w:t>
      </w:r>
      <w:r>
        <w:rPr>
          <w:rFonts w:hint="eastAsia" w:ascii="宋体" w:hAnsi="宋体"/>
          <w:szCs w:val="22"/>
          <w:highlight w:val="none"/>
        </w:rPr>
        <w:t>，</w:t>
      </w:r>
      <w:r>
        <w:rPr>
          <w:rFonts w:hint="eastAsia" w:hAnsi="宋体" w:cs="宋体"/>
          <w:szCs w:val="24"/>
          <w:highlight w:val="none"/>
        </w:rPr>
        <w:t>网络安全运维服务期12月。</w:t>
      </w:r>
    </w:p>
    <w:p w14:paraId="65F4A85C">
      <w:pPr>
        <w:numPr>
          <w:ilvl w:val="0"/>
          <w:numId w:val="2"/>
        </w:numPr>
        <w:ind w:right="36" w:firstLine="602"/>
        <w:rPr>
          <w:rFonts w:hAnsi="宋体"/>
          <w:b/>
          <w:bCs/>
          <w:sz w:val="30"/>
          <w:szCs w:val="30"/>
          <w:highlight w:val="none"/>
        </w:rPr>
      </w:pPr>
      <w:r>
        <w:rPr>
          <w:rFonts w:hint="eastAsia" w:hAnsi="宋体"/>
          <w:b/>
          <w:bCs/>
          <w:sz w:val="30"/>
          <w:szCs w:val="30"/>
          <w:highlight w:val="none"/>
        </w:rPr>
        <w:t>比选申请人资格要求</w:t>
      </w:r>
    </w:p>
    <w:p w14:paraId="185FF51F">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须具有独立法人资格，并持有工商行政主管部门核发的有效企业法人营业执照或事业单位法人证书；</w:t>
      </w:r>
    </w:p>
    <w:p w14:paraId="2D38D1DD">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须具备中国网络安全审查技术与认证中心（CCRC，原中国信息安全认证中心）颁发的《信息安全服务资质认证证书（信息安全风险评估三级服务资质）》及以上证书；核心设备须提供设备生产厂商针对本项目的授权函。</w:t>
      </w:r>
    </w:p>
    <w:p w14:paraId="5FC0C132">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自 2021年 1月 1日起至今（以合同签订时间为准）至少独立承担过 1个网络安全服务工作（工作内容包含网络安全风险评估）。</w:t>
      </w:r>
    </w:p>
    <w:p w14:paraId="1FAD929E">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项目负责人通过注册信息安全专业人员（CISP</w:t>
      </w:r>
      <w:r>
        <w:rPr>
          <w:rFonts w:hint="eastAsia" w:ascii="Times New Roman" w:hAnsi="Times New Roman"/>
          <w:sz w:val="24"/>
          <w:highlight w:val="none"/>
          <w:lang w:eastAsia="zh-CN"/>
        </w:rPr>
        <w:t>）</w:t>
      </w:r>
      <w:r>
        <w:rPr>
          <w:rFonts w:hint="eastAsia" w:ascii="Times New Roman" w:hAnsi="Times New Roman"/>
          <w:sz w:val="24"/>
          <w:highlight w:val="none"/>
        </w:rPr>
        <w:t>认证；</w:t>
      </w:r>
    </w:p>
    <w:p w14:paraId="6C89D2D5">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lang w:val="zh-CN"/>
        </w:rPr>
        <w:t>本项目不接受联合体比选申请申请，严禁转包和</w:t>
      </w:r>
      <w:r>
        <w:rPr>
          <w:rFonts w:hint="eastAsia" w:ascii="Times New Roman" w:hAnsi="Times New Roman"/>
          <w:sz w:val="24"/>
          <w:highlight w:val="none"/>
        </w:rPr>
        <w:t>非法</w:t>
      </w:r>
      <w:r>
        <w:rPr>
          <w:rFonts w:hint="eastAsia" w:ascii="Times New Roman" w:hAnsi="Times New Roman"/>
          <w:sz w:val="24"/>
          <w:highlight w:val="none"/>
          <w:lang w:val="zh-CN"/>
        </w:rPr>
        <w:t>分包</w:t>
      </w:r>
      <w:r>
        <w:rPr>
          <w:rFonts w:hint="eastAsia" w:ascii="Times New Roman" w:hAnsi="Times New Roman"/>
          <w:sz w:val="24"/>
          <w:highlight w:val="none"/>
        </w:rPr>
        <w:t>。</w:t>
      </w:r>
    </w:p>
    <w:p w14:paraId="64DF112F">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提供依法缴纳税收和社会保障资金的良好记录（近三个月）。</w:t>
      </w:r>
    </w:p>
    <w:p w14:paraId="787DBE5F">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参加本次比选前三年内，在经营活动中没有重大违法记录。</w:t>
      </w:r>
    </w:p>
    <w:p w14:paraId="791CFA85">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在“信用中国”网站中被列入失信执行人名单的比选申请人，其比选申请无效。</w:t>
      </w:r>
    </w:p>
    <w:p w14:paraId="52542BEB">
      <w:pPr>
        <w:pStyle w:val="42"/>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sz w:val="24"/>
          <w:highlight w:val="none"/>
        </w:rPr>
      </w:pPr>
      <w:r>
        <w:rPr>
          <w:rFonts w:hint="eastAsia" w:ascii="Times New Roman" w:hAnsi="Times New Roman"/>
          <w:sz w:val="24"/>
          <w:highlight w:val="none"/>
        </w:rPr>
        <w:t>在国家企业信用信息公示系统中未被列入严重违法失信企业名单。</w:t>
      </w:r>
    </w:p>
    <w:p w14:paraId="0FBDD0AB">
      <w:pPr>
        <w:numPr>
          <w:ilvl w:val="0"/>
          <w:numId w:val="2"/>
        </w:numPr>
        <w:tabs>
          <w:tab w:val="left" w:pos="6392"/>
        </w:tabs>
        <w:ind w:right="36" w:firstLine="602"/>
        <w:rPr>
          <w:rFonts w:hAnsi="宋体"/>
          <w:b/>
          <w:bCs/>
          <w:highlight w:val="none"/>
        </w:rPr>
      </w:pPr>
      <w:r>
        <w:rPr>
          <w:rFonts w:hint="eastAsia" w:hAnsi="宋体"/>
          <w:b/>
          <w:bCs/>
          <w:sz w:val="30"/>
          <w:szCs w:val="30"/>
          <w:highlight w:val="none"/>
        </w:rPr>
        <w:t>比选文件的获取</w:t>
      </w:r>
      <w:r>
        <w:rPr>
          <w:rFonts w:hint="eastAsia" w:hAnsi="宋体"/>
          <w:b/>
          <w:bCs/>
          <w:highlight w:val="none"/>
        </w:rPr>
        <w:tab/>
      </w:r>
    </w:p>
    <w:p w14:paraId="150AC7B4">
      <w:pPr>
        <w:pStyle w:val="15"/>
        <w:ind w:firstLine="420"/>
        <w:jc w:val="both"/>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符合公告要求、有意愿参与的比选申请人请于2024年8月19日至2024年8月23日，在四川省都江堰市观景路833号进行报名。报名时，必须携带：①经办人介绍信或法定代表人授权委托书（须注明报名的项目名称），以上证件收加盖比选申请人鲜章的原件②经办人身份证（核原件收加盖公章的复印件），以上证件收加盖比选申请人鲜章的复印件。</w:t>
      </w:r>
    </w:p>
    <w:p w14:paraId="047175D7">
      <w:pPr>
        <w:pStyle w:val="15"/>
        <w:ind w:firstLine="420"/>
        <w:jc w:val="both"/>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比选申请人采取网上报名时，应于规定报名时间段内将以上报名资料彩色扫描件发送至指定邮箱（694717720@qq.com）。报名资料确认无误后即为报名成功。开标当天，比选申请人须将报名资料原件带至开标现场，交给现场人员。</w:t>
      </w:r>
    </w:p>
    <w:p w14:paraId="09D579FD">
      <w:pPr>
        <w:numPr>
          <w:ilvl w:val="0"/>
          <w:numId w:val="2"/>
        </w:numPr>
        <w:ind w:right="36" w:firstLine="602"/>
        <w:rPr>
          <w:rFonts w:hAnsi="宋体"/>
          <w:b/>
          <w:bCs/>
          <w:sz w:val="30"/>
          <w:szCs w:val="30"/>
          <w:highlight w:val="none"/>
        </w:rPr>
      </w:pPr>
      <w:r>
        <w:rPr>
          <w:rFonts w:hint="eastAsia" w:hAnsi="宋体"/>
          <w:b/>
          <w:bCs/>
          <w:sz w:val="30"/>
          <w:szCs w:val="30"/>
          <w:highlight w:val="none"/>
        </w:rPr>
        <w:t>比选申请文件的递交及开标</w:t>
      </w:r>
    </w:p>
    <w:p w14:paraId="1FB9A2A9">
      <w:pPr>
        <w:ind w:firstLine="480"/>
        <w:rPr>
          <w:rFonts w:hAnsi="宋体"/>
          <w:szCs w:val="28"/>
          <w:highlight w:val="none"/>
        </w:rPr>
      </w:pPr>
      <w:r>
        <w:rPr>
          <w:rFonts w:hint="eastAsia"/>
          <w:szCs w:val="24"/>
          <w:highlight w:val="none"/>
        </w:rPr>
        <w:t>比选申请</w:t>
      </w:r>
      <w:r>
        <w:rPr>
          <w:rFonts w:hint="eastAsia"/>
          <w:szCs w:val="24"/>
          <w:highlight w:val="none"/>
          <w:lang w:val="en-US" w:eastAsia="zh-CN"/>
        </w:rPr>
        <w:t>递交</w:t>
      </w:r>
      <w:r>
        <w:rPr>
          <w:rFonts w:hint="eastAsia"/>
          <w:szCs w:val="24"/>
          <w:highlight w:val="none"/>
        </w:rPr>
        <w:t>截止日期（开标日期）</w:t>
      </w:r>
      <w:r>
        <w:rPr>
          <w:rFonts w:hint="eastAsia" w:hAnsi="宋体" w:cs="新宋体"/>
          <w:highlight w:val="none"/>
        </w:rPr>
        <w:t>：</w:t>
      </w:r>
      <w:r>
        <w:rPr>
          <w:rFonts w:hint="eastAsia" w:hAnsi="宋体" w:cs="新宋体"/>
          <w:highlight w:val="none"/>
          <w:u w:val="single"/>
          <w:lang w:val="en-US" w:eastAsia="zh-CN"/>
        </w:rPr>
        <w:t>2024</w:t>
      </w:r>
      <w:r>
        <w:rPr>
          <w:rFonts w:hint="eastAsia" w:hAnsi="宋体" w:cs="新宋体"/>
          <w:highlight w:val="none"/>
          <w:u w:val="single"/>
        </w:rPr>
        <w:t>年</w:t>
      </w:r>
      <w:r>
        <w:rPr>
          <w:rFonts w:hint="eastAsia" w:hAnsi="宋体" w:cs="新宋体"/>
          <w:highlight w:val="none"/>
          <w:u w:val="single"/>
          <w:lang w:val="en-US" w:eastAsia="zh-CN"/>
        </w:rPr>
        <w:t>8</w:t>
      </w:r>
      <w:r>
        <w:rPr>
          <w:rFonts w:hint="eastAsia" w:hAnsi="宋体" w:cs="新宋体"/>
          <w:highlight w:val="none"/>
          <w:u w:val="single"/>
        </w:rPr>
        <w:t>月</w:t>
      </w:r>
      <w:r>
        <w:rPr>
          <w:rFonts w:hint="eastAsia" w:hAnsi="宋体" w:cs="新宋体"/>
          <w:highlight w:val="none"/>
          <w:u w:val="single"/>
          <w:lang w:val="en-US" w:eastAsia="zh-CN"/>
        </w:rPr>
        <w:t>26</w:t>
      </w:r>
      <w:r>
        <w:rPr>
          <w:rFonts w:hint="eastAsia" w:hAnsi="宋体" w:cs="新宋体"/>
          <w:highlight w:val="none"/>
          <w:u w:val="single"/>
        </w:rPr>
        <w:t>日</w:t>
      </w:r>
      <w:r>
        <w:rPr>
          <w:rFonts w:hint="eastAsia" w:hAnsi="宋体" w:cs="新宋体"/>
          <w:highlight w:val="none"/>
          <w:u w:val="single"/>
          <w:lang w:val="en-US" w:eastAsia="zh-CN"/>
        </w:rPr>
        <w:t>15</w:t>
      </w:r>
      <w:r>
        <w:rPr>
          <w:rFonts w:hint="eastAsia" w:hAnsi="宋体" w:cs="新宋体"/>
          <w:highlight w:val="none"/>
          <w:u w:val="single"/>
        </w:rPr>
        <w:t>点</w:t>
      </w:r>
      <w:r>
        <w:rPr>
          <w:rFonts w:hint="eastAsia" w:hAnsi="宋体" w:cs="新宋体"/>
          <w:highlight w:val="none"/>
          <w:u w:val="single"/>
          <w:lang w:val="en-US" w:eastAsia="zh-CN"/>
        </w:rPr>
        <w:t>0</w:t>
      </w:r>
      <w:r>
        <w:rPr>
          <w:rFonts w:hint="eastAsia" w:hAnsi="宋体" w:cs="新宋体"/>
          <w:highlight w:val="none"/>
          <w:u w:val="single"/>
        </w:rPr>
        <w:t>分</w:t>
      </w:r>
      <w:r>
        <w:rPr>
          <w:rFonts w:hint="eastAsia"/>
          <w:highlight w:val="none"/>
        </w:rPr>
        <w:t>比选申请</w:t>
      </w:r>
      <w:r>
        <w:rPr>
          <w:highlight w:val="none"/>
        </w:rPr>
        <w:t>文件递交地点</w:t>
      </w:r>
      <w:r>
        <w:rPr>
          <w:rFonts w:hAnsi="宋体"/>
          <w:szCs w:val="28"/>
          <w:highlight w:val="none"/>
        </w:rPr>
        <w:t>：</w:t>
      </w:r>
      <w:r>
        <w:rPr>
          <w:rFonts w:hint="eastAsia" w:asciiTheme="minorEastAsia" w:hAnsiTheme="minorEastAsia" w:eastAsiaTheme="minorEastAsia" w:cstheme="minorEastAsia"/>
          <w:highlight w:val="none"/>
          <w:u w:val="single"/>
        </w:rPr>
        <w:t>都江堰市观景路833号</w:t>
      </w:r>
      <w:r>
        <w:rPr>
          <w:rFonts w:hint="eastAsia" w:hAnsi="宋体"/>
          <w:szCs w:val="28"/>
          <w:highlight w:val="none"/>
          <w:u w:val="single"/>
        </w:rPr>
        <w:t xml:space="preserve"> </w:t>
      </w:r>
      <w:r>
        <w:rPr>
          <w:rFonts w:hint="eastAsia" w:hAnsi="宋体"/>
          <w:szCs w:val="28"/>
          <w:highlight w:val="none"/>
        </w:rPr>
        <w:t>。比选人于</w:t>
      </w:r>
      <w:r>
        <w:rPr>
          <w:rFonts w:hint="eastAsia" w:hAnsi="宋体"/>
          <w:szCs w:val="28"/>
          <w:highlight w:val="none"/>
          <w:u w:val="single"/>
          <w:lang w:val="en-US" w:eastAsia="zh-CN"/>
        </w:rPr>
        <w:t>2024</w:t>
      </w:r>
      <w:r>
        <w:rPr>
          <w:rFonts w:hint="eastAsia" w:hAnsi="宋体"/>
          <w:szCs w:val="28"/>
          <w:highlight w:val="none"/>
        </w:rPr>
        <w:t>年</w:t>
      </w:r>
      <w:r>
        <w:rPr>
          <w:rFonts w:hint="eastAsia" w:hAnsi="宋体"/>
          <w:szCs w:val="28"/>
          <w:highlight w:val="none"/>
          <w:u w:val="single"/>
          <w:lang w:val="en-US" w:eastAsia="zh-CN"/>
        </w:rPr>
        <w:t>8</w:t>
      </w:r>
      <w:r>
        <w:rPr>
          <w:rFonts w:hint="eastAsia" w:hAnsi="宋体"/>
          <w:szCs w:val="28"/>
          <w:highlight w:val="none"/>
        </w:rPr>
        <w:t>月</w:t>
      </w:r>
      <w:r>
        <w:rPr>
          <w:rFonts w:hint="eastAsia" w:hAnsi="宋体"/>
          <w:szCs w:val="28"/>
          <w:highlight w:val="none"/>
          <w:u w:val="single"/>
          <w:lang w:val="en-US" w:eastAsia="zh-CN"/>
        </w:rPr>
        <w:t>26</w:t>
      </w:r>
      <w:r>
        <w:rPr>
          <w:rFonts w:hint="eastAsia" w:hAnsi="宋体"/>
          <w:szCs w:val="28"/>
          <w:highlight w:val="none"/>
        </w:rPr>
        <w:t>日</w:t>
      </w:r>
      <w:r>
        <w:rPr>
          <w:rFonts w:hint="eastAsia" w:hAnsi="宋体"/>
          <w:szCs w:val="28"/>
          <w:highlight w:val="none"/>
          <w:u w:val="single"/>
          <w:lang w:val="en-US" w:eastAsia="zh-CN"/>
        </w:rPr>
        <w:t>15</w:t>
      </w:r>
      <w:r>
        <w:rPr>
          <w:rFonts w:hint="eastAsia" w:hAnsi="宋体"/>
          <w:szCs w:val="28"/>
          <w:highlight w:val="none"/>
          <w:u w:val="single"/>
        </w:rPr>
        <w:t>时</w:t>
      </w:r>
      <w:r>
        <w:rPr>
          <w:rFonts w:hint="eastAsia" w:hAnsi="宋体"/>
          <w:szCs w:val="28"/>
          <w:highlight w:val="none"/>
          <w:u w:val="single"/>
          <w:lang w:val="en-US" w:eastAsia="zh-CN"/>
        </w:rPr>
        <w:t>0</w:t>
      </w:r>
      <w:r>
        <w:rPr>
          <w:rFonts w:hint="eastAsia" w:hAnsi="宋体"/>
          <w:szCs w:val="28"/>
          <w:highlight w:val="none"/>
          <w:u w:val="single"/>
        </w:rPr>
        <w:t>分</w:t>
      </w:r>
      <w:r>
        <w:rPr>
          <w:rFonts w:hint="eastAsia" w:hAnsi="宋体"/>
          <w:szCs w:val="28"/>
          <w:highlight w:val="none"/>
        </w:rPr>
        <w:t>组织开评会。逾期送达或密封和标注不符合比选文件规定的比选申请文件恕不接受。本次比选不接受邮寄的比选申请文件。</w:t>
      </w:r>
    </w:p>
    <w:p w14:paraId="51BBB39F">
      <w:pPr>
        <w:numPr>
          <w:ilvl w:val="0"/>
          <w:numId w:val="2"/>
        </w:numPr>
        <w:ind w:right="36" w:firstLine="602"/>
        <w:rPr>
          <w:rFonts w:hAnsi="宋体"/>
          <w:b/>
          <w:bCs/>
          <w:sz w:val="30"/>
          <w:szCs w:val="30"/>
          <w:highlight w:val="none"/>
        </w:rPr>
      </w:pPr>
      <w:r>
        <w:rPr>
          <w:rFonts w:hint="eastAsia" w:hAnsi="宋体"/>
          <w:b/>
          <w:bCs/>
          <w:sz w:val="30"/>
          <w:szCs w:val="30"/>
          <w:highlight w:val="none"/>
        </w:rPr>
        <w:t>比选结果公示</w:t>
      </w:r>
    </w:p>
    <w:p w14:paraId="6F3562A4">
      <w:pPr>
        <w:ind w:firstLine="480"/>
        <w:rPr>
          <w:szCs w:val="24"/>
          <w:highlight w:val="none"/>
        </w:rPr>
      </w:pPr>
      <w:r>
        <w:rPr>
          <w:rFonts w:hint="eastAsia" w:hAnsi="宋体"/>
          <w:highlight w:val="none"/>
        </w:rPr>
        <w:t>比选人在收到比选报告之日起3日内，将比选结果即评标委员会推荐中标候选人名单在</w:t>
      </w:r>
      <w:bookmarkStart w:id="13" w:name="OLE_LINK3"/>
      <w:r>
        <w:rPr>
          <w:rFonts w:hint="eastAsia" w:hAnsi="宋体"/>
          <w:highlight w:val="none"/>
        </w:rPr>
        <w:t>四川蜀道新制式轨道集团有限责任公司</w:t>
      </w:r>
      <w:r>
        <w:rPr>
          <w:rFonts w:hint="eastAsia" w:ascii="Times New Roman" w:hAnsi="宋体" w:eastAsia="宋体" w:cs="Times New Roman"/>
          <w:highlight w:val="none"/>
          <w:u w:val="single"/>
          <w:lang w:eastAsia="zh-CN"/>
        </w:rPr>
        <w:t>https://shudaogdjt.com/</w:t>
      </w:r>
      <w:r>
        <w:rPr>
          <w:rFonts w:hint="eastAsia" w:hAnsi="宋体"/>
          <w:highlight w:val="none"/>
        </w:rPr>
        <w:t>网站上</w:t>
      </w:r>
      <w:bookmarkEnd w:id="13"/>
      <w:r>
        <w:rPr>
          <w:rFonts w:hint="eastAsia" w:hAnsi="宋体"/>
          <w:highlight w:val="none"/>
        </w:rPr>
        <w:t>公示3个工作日以接受社会公开监督；公示期间接受投诉和举报。</w:t>
      </w:r>
      <w:r>
        <w:rPr>
          <w:rFonts w:hint="eastAsia"/>
          <w:szCs w:val="24"/>
          <w:highlight w:val="none"/>
        </w:rPr>
        <w:t xml:space="preserve">                                                                                                                                                                                                                                                                                                                                                                                                                                                                                                                                                                                                                                                                                                                                                                                                                                                                                                                                                                                                                                                                                                                                                                                                                                                                                                                                                                                                                                                                                                                                                                                                                                                                                                                                                                                                                                                                                                                                                                                                                                                                                                                                                                                                                                                                                                                                                                                                                                                                                                                                                                                                                                                                                                                                                                                                                                                                                                                                                                                                                                                                                                                                                                                                                                                                                                                                                                                                                                                                                                                                                                                                                                                                                                                                                                                                                                                                                                                                                                                                                                                                                                                                                                                                                </w:t>
      </w:r>
      <w:r>
        <w:rPr>
          <w:rFonts w:hint="eastAsia"/>
          <w:szCs w:val="24"/>
          <w:highlight w:val="none"/>
        </w:rPr>
        <w:t xml:space="preserve">                                                                                                                                                                                                                                                                                                                                                                                                                                                                                                                                                                                                                                                                                                                                                                                                                                                                                                                                                                                                                                                                                                                                                                                                                                                                                                                                                                                                                                                                                                                                                                                                                                 </w:t>
      </w:r>
    </w:p>
    <w:p w14:paraId="16F979C9">
      <w:pPr>
        <w:numPr>
          <w:ilvl w:val="0"/>
          <w:numId w:val="2"/>
        </w:numPr>
        <w:ind w:right="36" w:firstLine="602"/>
        <w:rPr>
          <w:rFonts w:hAnsi="宋体"/>
          <w:b/>
          <w:bCs/>
          <w:sz w:val="30"/>
          <w:szCs w:val="30"/>
          <w:highlight w:val="none"/>
        </w:rPr>
      </w:pPr>
      <w:r>
        <w:rPr>
          <w:rFonts w:hint="eastAsia" w:hAnsi="宋体"/>
          <w:b/>
          <w:bCs/>
          <w:sz w:val="30"/>
          <w:szCs w:val="30"/>
          <w:highlight w:val="none"/>
        </w:rPr>
        <w:t>发布公告的媒介</w:t>
      </w:r>
    </w:p>
    <w:p w14:paraId="1D53B6F6">
      <w:pPr>
        <w:pStyle w:val="145"/>
        <w:ind w:firstLine="480"/>
        <w:rPr>
          <w:rFonts w:hAnsi="宋体"/>
          <w:highlight w:val="none"/>
        </w:rPr>
      </w:pPr>
      <w:r>
        <w:rPr>
          <w:rFonts w:hint="eastAsia"/>
          <w:highlight w:val="none"/>
        </w:rPr>
        <w:t>本项目比选公告在四川蜀道新制式轨道集团有限责任公司</w:t>
      </w:r>
      <w:r>
        <w:rPr>
          <w:rFonts w:hint="eastAsia" w:ascii="Times New Roman" w:hAnsi="宋体" w:eastAsia="宋体" w:cs="Times New Roman"/>
          <w:highlight w:val="none"/>
          <w:u w:val="single"/>
          <w:lang w:eastAsia="zh-CN"/>
        </w:rPr>
        <w:t>https://shudaogdjt.com/</w:t>
      </w:r>
      <w:r>
        <w:rPr>
          <w:rFonts w:hint="eastAsia" w:hAnsi="宋体" w:cs="新宋体"/>
          <w:highlight w:val="none"/>
        </w:rPr>
        <w:t>网站</w:t>
      </w:r>
      <w:r>
        <w:rPr>
          <w:rFonts w:hint="eastAsia" w:hAnsi="宋体"/>
          <w:highlight w:val="none"/>
        </w:rPr>
        <w:t>上以公告形式发布。</w:t>
      </w:r>
    </w:p>
    <w:p w14:paraId="19B6EC8B">
      <w:pPr>
        <w:numPr>
          <w:ilvl w:val="0"/>
          <w:numId w:val="2"/>
        </w:numPr>
        <w:ind w:right="36" w:firstLine="602"/>
        <w:rPr>
          <w:rFonts w:hAnsi="宋体"/>
          <w:b/>
          <w:bCs/>
          <w:sz w:val="30"/>
          <w:szCs w:val="30"/>
          <w:highlight w:val="none"/>
        </w:rPr>
      </w:pPr>
      <w:r>
        <w:rPr>
          <w:rFonts w:hint="eastAsia" w:hAnsi="宋体"/>
          <w:b/>
          <w:bCs/>
          <w:sz w:val="30"/>
          <w:szCs w:val="30"/>
          <w:highlight w:val="none"/>
        </w:rPr>
        <w:t>联系方式</w:t>
      </w:r>
    </w:p>
    <w:p w14:paraId="13C4D89F">
      <w:pPr>
        <w:pStyle w:val="145"/>
        <w:ind w:firstLine="480"/>
        <w:rPr>
          <w:highlight w:val="none"/>
        </w:rPr>
      </w:pPr>
      <w:r>
        <w:rPr>
          <w:rFonts w:hint="eastAsia" w:hAnsi="宋体"/>
          <w:highlight w:val="none"/>
        </w:rPr>
        <w:t>比选人：</w:t>
      </w:r>
      <w:r>
        <w:rPr>
          <w:rFonts w:hAnsi="宋体"/>
          <w:highlight w:val="none"/>
        </w:rPr>
        <w:t>四川都金山地轨道交通有限责任公司</w:t>
      </w:r>
    </w:p>
    <w:p w14:paraId="5B127A5F">
      <w:pPr>
        <w:pStyle w:val="145"/>
        <w:ind w:firstLine="480"/>
        <w:rPr>
          <w:rFonts w:hAnsi="宋体"/>
          <w:highlight w:val="none"/>
        </w:rPr>
      </w:pPr>
      <w:r>
        <w:rPr>
          <w:rFonts w:hint="eastAsia"/>
          <w:highlight w:val="none"/>
        </w:rPr>
        <w:t>地  址：</w:t>
      </w:r>
      <w:r>
        <w:rPr>
          <w:rFonts w:hAnsi="宋体"/>
          <w:highlight w:val="none"/>
        </w:rPr>
        <w:t>四川省成都市都江堰市观景路833号</w:t>
      </w:r>
    </w:p>
    <w:p w14:paraId="085AFE75">
      <w:pPr>
        <w:pStyle w:val="145"/>
        <w:ind w:firstLine="480"/>
        <w:rPr>
          <w:rFonts w:ascii="宋体" w:hAnsi="宋体" w:cs="宋体"/>
          <w:szCs w:val="24"/>
          <w:highlight w:val="none"/>
        </w:rPr>
      </w:pPr>
      <w:r>
        <w:rPr>
          <w:rFonts w:ascii="宋体" w:hAnsi="宋体" w:cs="宋体"/>
          <w:szCs w:val="24"/>
          <w:highlight w:val="none"/>
        </w:rPr>
        <w:t>报名咨询联系人：</w:t>
      </w:r>
      <w:r>
        <w:rPr>
          <w:rFonts w:hint="eastAsia" w:ascii="宋体" w:hAnsi="宋体" w:cs="宋体"/>
          <w:szCs w:val="24"/>
          <w:highlight w:val="none"/>
          <w:lang w:val="en-US" w:eastAsia="zh-CN"/>
        </w:rPr>
        <w:t>余老师18048556983</w:t>
      </w:r>
      <w:r>
        <w:rPr>
          <w:rFonts w:hint="eastAsia" w:ascii="宋体" w:hAnsi="宋体" w:cs="宋体"/>
          <w:szCs w:val="24"/>
          <w:highlight w:val="none"/>
        </w:rPr>
        <w:t xml:space="preserve">      </w:t>
      </w:r>
    </w:p>
    <w:p w14:paraId="39D22562">
      <w:pPr>
        <w:pStyle w:val="145"/>
        <w:ind w:firstLine="480"/>
        <w:rPr>
          <w:rFonts w:ascii="宋体" w:hAnsi="宋体" w:cs="宋体"/>
          <w:szCs w:val="24"/>
          <w:highlight w:val="none"/>
        </w:rPr>
      </w:pPr>
      <w:r>
        <w:rPr>
          <w:rFonts w:hint="eastAsia" w:ascii="宋体" w:hAnsi="宋体" w:cs="宋体"/>
          <w:szCs w:val="24"/>
          <w:highlight w:val="none"/>
        </w:rPr>
        <w:t>问题</w:t>
      </w:r>
      <w:r>
        <w:rPr>
          <w:rFonts w:ascii="宋体" w:hAnsi="宋体" w:cs="宋体"/>
          <w:szCs w:val="24"/>
          <w:highlight w:val="none"/>
        </w:rPr>
        <w:t>咨询联系人</w:t>
      </w:r>
      <w:r>
        <w:rPr>
          <w:rFonts w:hint="eastAsia" w:ascii="宋体" w:hAnsi="宋体" w:cs="宋体"/>
          <w:szCs w:val="24"/>
          <w:highlight w:val="none"/>
        </w:rPr>
        <w:t>：</w:t>
      </w:r>
      <w:r>
        <w:rPr>
          <w:rFonts w:hint="eastAsia" w:ascii="宋体" w:hAnsi="宋体" w:cs="宋体"/>
          <w:szCs w:val="24"/>
          <w:highlight w:val="none"/>
          <w:lang w:val="en-US" w:eastAsia="zh-CN"/>
        </w:rPr>
        <w:t>余老师18048556983</w:t>
      </w:r>
      <w:r>
        <w:rPr>
          <w:rFonts w:hint="eastAsia" w:ascii="宋体" w:hAnsi="宋体" w:cs="宋体"/>
          <w:szCs w:val="24"/>
          <w:highlight w:val="none"/>
        </w:rPr>
        <w:t xml:space="preserve">     </w:t>
      </w:r>
    </w:p>
    <w:p w14:paraId="49603FEA">
      <w:pPr>
        <w:pStyle w:val="145"/>
        <w:ind w:firstLine="480"/>
        <w:rPr>
          <w:rFonts w:ascii="宋体" w:hAnsi="宋体" w:cs="宋体"/>
          <w:szCs w:val="24"/>
          <w:highlight w:val="none"/>
        </w:rPr>
      </w:pPr>
      <w:r>
        <w:rPr>
          <w:rFonts w:hint="eastAsia" w:hAnsi="宋体"/>
          <w:szCs w:val="22"/>
          <w:highlight w:val="none"/>
        </w:rPr>
        <w:t>比选申请保证金联系人：</w:t>
      </w:r>
      <w:r>
        <w:rPr>
          <w:rFonts w:hint="eastAsia" w:ascii="宋体" w:hAnsi="宋体" w:cs="宋体"/>
          <w:szCs w:val="24"/>
          <w:highlight w:val="none"/>
          <w:lang w:val="en-US" w:eastAsia="zh-CN"/>
        </w:rPr>
        <w:t>余老师18048556983</w:t>
      </w:r>
      <w:r>
        <w:rPr>
          <w:rFonts w:hint="eastAsia" w:hAnsi="宋体"/>
          <w:szCs w:val="22"/>
          <w:highlight w:val="none"/>
        </w:rPr>
        <w:t xml:space="preserve">   </w:t>
      </w:r>
    </w:p>
    <w:p w14:paraId="2E74F9CB">
      <w:pPr>
        <w:ind w:right="36" w:firstLine="482"/>
        <w:rPr>
          <w:rFonts w:hAnsi="宋体"/>
          <w:b/>
          <w:bCs/>
          <w:highlight w:val="none"/>
        </w:rPr>
      </w:pPr>
    </w:p>
    <w:p w14:paraId="26FB1F8C">
      <w:pPr>
        <w:pStyle w:val="42"/>
        <w:ind w:firstLine="643"/>
        <w:rPr>
          <w:rFonts w:hAnsi="宋体"/>
          <w:b/>
          <w:bCs/>
          <w:highlight w:val="none"/>
        </w:rPr>
      </w:pPr>
    </w:p>
    <w:p w14:paraId="0E56CC2C">
      <w:pPr>
        <w:pStyle w:val="42"/>
        <w:ind w:firstLine="643"/>
        <w:rPr>
          <w:rFonts w:hAnsi="宋体"/>
          <w:b/>
          <w:bCs/>
          <w:highlight w:val="none"/>
        </w:rPr>
      </w:pPr>
    </w:p>
    <w:p w14:paraId="2B7E36D5">
      <w:pPr>
        <w:pStyle w:val="42"/>
        <w:ind w:firstLine="643"/>
        <w:rPr>
          <w:rFonts w:hAnsi="宋体"/>
          <w:b/>
          <w:bCs/>
          <w:highlight w:val="none"/>
        </w:rPr>
      </w:pPr>
    </w:p>
    <w:p w14:paraId="51620D28">
      <w:pPr>
        <w:pStyle w:val="42"/>
        <w:ind w:firstLine="643"/>
        <w:rPr>
          <w:rFonts w:hAnsi="宋体"/>
          <w:b/>
          <w:bCs/>
          <w:highlight w:val="none"/>
        </w:rPr>
      </w:pPr>
    </w:p>
    <w:p w14:paraId="30FF3B4C">
      <w:pPr>
        <w:pStyle w:val="42"/>
        <w:ind w:firstLine="643"/>
        <w:rPr>
          <w:rFonts w:hAnsi="宋体"/>
          <w:b/>
          <w:bCs/>
          <w:highlight w:val="none"/>
        </w:rPr>
      </w:pPr>
    </w:p>
    <w:p w14:paraId="79F8BA03">
      <w:pPr>
        <w:pStyle w:val="42"/>
        <w:ind w:firstLine="643"/>
        <w:rPr>
          <w:rFonts w:hAnsi="宋体"/>
          <w:b/>
          <w:bCs/>
          <w:highlight w:val="none"/>
        </w:rPr>
      </w:pPr>
    </w:p>
    <w:p w14:paraId="5FC136DD">
      <w:pPr>
        <w:pStyle w:val="42"/>
        <w:ind w:firstLine="643"/>
        <w:rPr>
          <w:rFonts w:hAnsi="宋体"/>
          <w:b/>
          <w:bCs/>
          <w:highlight w:val="none"/>
        </w:rPr>
      </w:pPr>
    </w:p>
    <w:p w14:paraId="0A4BC1AE">
      <w:pPr>
        <w:pStyle w:val="42"/>
        <w:ind w:firstLine="643"/>
        <w:rPr>
          <w:rFonts w:hAnsi="宋体"/>
          <w:b/>
          <w:bCs/>
          <w:highlight w:val="none"/>
        </w:rPr>
      </w:pPr>
    </w:p>
    <w:p w14:paraId="29FD7C2F">
      <w:pPr>
        <w:pStyle w:val="42"/>
        <w:ind w:firstLine="643"/>
        <w:rPr>
          <w:rFonts w:hAnsi="宋体"/>
          <w:b/>
          <w:bCs/>
          <w:highlight w:val="none"/>
        </w:rPr>
      </w:pPr>
    </w:p>
    <w:p w14:paraId="79477AAD">
      <w:pPr>
        <w:pStyle w:val="42"/>
        <w:ind w:firstLine="643"/>
        <w:rPr>
          <w:rFonts w:hAnsi="宋体"/>
          <w:b/>
          <w:bCs/>
          <w:highlight w:val="none"/>
        </w:rPr>
      </w:pPr>
    </w:p>
    <w:p w14:paraId="5CBB8E0C">
      <w:pPr>
        <w:pStyle w:val="42"/>
        <w:ind w:firstLine="643"/>
        <w:rPr>
          <w:rFonts w:hAnsi="宋体"/>
          <w:b/>
          <w:bCs/>
          <w:highlight w:val="none"/>
        </w:rPr>
      </w:pPr>
    </w:p>
    <w:p w14:paraId="0C65DE50">
      <w:pPr>
        <w:pStyle w:val="42"/>
        <w:ind w:firstLine="643"/>
        <w:rPr>
          <w:rFonts w:hAnsi="宋体"/>
          <w:b/>
          <w:bCs/>
          <w:highlight w:val="none"/>
        </w:rPr>
      </w:pPr>
    </w:p>
    <w:p w14:paraId="79593429">
      <w:pPr>
        <w:pStyle w:val="42"/>
        <w:ind w:firstLine="643"/>
        <w:rPr>
          <w:rFonts w:hAnsi="宋体"/>
          <w:b/>
          <w:bCs/>
          <w:highlight w:val="none"/>
        </w:rPr>
      </w:pPr>
    </w:p>
    <w:p w14:paraId="34515E49">
      <w:pPr>
        <w:pStyle w:val="42"/>
        <w:ind w:firstLine="643"/>
        <w:rPr>
          <w:rFonts w:hAnsi="宋体"/>
          <w:b/>
          <w:bCs/>
          <w:highlight w:val="none"/>
        </w:rPr>
      </w:pPr>
    </w:p>
    <w:p w14:paraId="5239E3A7">
      <w:pPr>
        <w:pStyle w:val="42"/>
        <w:ind w:firstLine="643"/>
        <w:rPr>
          <w:rFonts w:hAnsi="宋体"/>
          <w:b/>
          <w:bCs/>
          <w:highlight w:val="none"/>
        </w:rPr>
      </w:pPr>
    </w:p>
    <w:p w14:paraId="284BD6E2">
      <w:pPr>
        <w:pStyle w:val="42"/>
        <w:ind w:firstLine="643"/>
        <w:rPr>
          <w:rFonts w:hAnsi="宋体"/>
          <w:b/>
          <w:bCs/>
          <w:highlight w:val="none"/>
        </w:rPr>
      </w:pPr>
    </w:p>
    <w:p w14:paraId="0C51D06E">
      <w:pPr>
        <w:pStyle w:val="42"/>
        <w:ind w:firstLine="643"/>
        <w:rPr>
          <w:rFonts w:hAnsi="宋体"/>
          <w:b/>
          <w:bCs/>
          <w:highlight w:val="none"/>
        </w:rPr>
      </w:pPr>
    </w:p>
    <w:p w14:paraId="415BE47D">
      <w:pPr>
        <w:pStyle w:val="42"/>
        <w:ind w:firstLine="643"/>
        <w:rPr>
          <w:rFonts w:hAnsi="宋体"/>
          <w:b/>
          <w:bCs/>
          <w:highlight w:val="none"/>
        </w:rPr>
      </w:pPr>
    </w:p>
    <w:p w14:paraId="08208B3B">
      <w:pPr>
        <w:pStyle w:val="2"/>
        <w:rPr>
          <w:highlight w:val="none"/>
        </w:rPr>
      </w:pPr>
      <w:bookmarkStart w:id="14" w:name="_Toc4087"/>
      <w:bookmarkStart w:id="15" w:name="_Toc12801"/>
      <w:bookmarkStart w:id="16" w:name="_Toc7569"/>
      <w:bookmarkStart w:id="17" w:name="_Toc22525"/>
      <w:bookmarkStart w:id="18" w:name="_Toc29570"/>
      <w:bookmarkStart w:id="19" w:name="_Toc30436"/>
      <w:bookmarkStart w:id="20" w:name="_Toc213396945"/>
      <w:bookmarkStart w:id="21" w:name="_Toc213397009"/>
      <w:bookmarkStart w:id="22" w:name="_Toc217446031"/>
      <w:bookmarkStart w:id="23" w:name="_Toc482004154"/>
      <w:bookmarkStart w:id="24" w:name="_Toc213496267"/>
      <w:bookmarkStart w:id="25" w:name="_Toc213396759"/>
      <w:bookmarkStart w:id="26" w:name="_Toc77400776"/>
      <w:bookmarkStart w:id="27" w:name="_Toc183582202"/>
      <w:bookmarkStart w:id="28" w:name="_Toc89075871"/>
      <w:bookmarkStart w:id="29" w:name="_Toc183682339"/>
      <w:r>
        <w:rPr>
          <w:rFonts w:hint="eastAsia"/>
          <w:highlight w:val="none"/>
        </w:rPr>
        <w:t>第二章 比选需求</w:t>
      </w:r>
      <w:bookmarkEnd w:id="14"/>
      <w:bookmarkEnd w:id="15"/>
      <w:bookmarkEnd w:id="16"/>
      <w:bookmarkEnd w:id="17"/>
      <w:bookmarkEnd w:id="18"/>
      <w:bookmarkEnd w:id="19"/>
    </w:p>
    <w:p w14:paraId="5D4016EE">
      <w:pPr>
        <w:pStyle w:val="3"/>
        <w:ind w:firstLine="0" w:firstLineChars="0"/>
        <w:rPr>
          <w:highlight w:val="none"/>
        </w:rPr>
      </w:pPr>
      <w:bookmarkStart w:id="30" w:name="_Toc13698"/>
      <w:bookmarkStart w:id="31" w:name="_Toc6022"/>
      <w:bookmarkStart w:id="32" w:name="_Toc27120"/>
      <w:bookmarkStart w:id="33" w:name="_Toc18773"/>
      <w:bookmarkStart w:id="34" w:name="_Toc28573"/>
      <w:bookmarkStart w:id="35" w:name="_Toc31004"/>
      <w:r>
        <w:rPr>
          <w:rFonts w:hint="eastAsia"/>
          <w:highlight w:val="none"/>
        </w:rPr>
        <w:t>一、项目概述</w:t>
      </w:r>
      <w:bookmarkEnd w:id="30"/>
      <w:bookmarkEnd w:id="31"/>
      <w:bookmarkEnd w:id="32"/>
      <w:bookmarkEnd w:id="33"/>
      <w:bookmarkEnd w:id="34"/>
      <w:bookmarkEnd w:id="35"/>
    </w:p>
    <w:p w14:paraId="029AFA87">
      <w:pPr>
        <w:pStyle w:val="52"/>
        <w:ind w:firstLine="480"/>
        <w:rPr>
          <w:rFonts w:ascii="宋体" w:hAnsi="宋体" w:cs="宋体"/>
          <w:highlight w:val="none"/>
        </w:rPr>
      </w:pPr>
      <w:r>
        <w:rPr>
          <w:rFonts w:hint="eastAsia" w:ascii="宋体" w:hAnsi="宋体" w:cs="宋体"/>
          <w:highlight w:val="none"/>
        </w:rPr>
        <w:t>四川都金山地轨道交通有限责任公司（简称都金公司）是四川蜀道新制式轨道集团有限责任公司（简称蜀道新制式轨道集团）的子公司之一。公司成立于2019年，注册资本2亿元，由蜀道新制式轨道集团和四川阿坝交通建设投资有限责任公司分别持股95%和5%，主要从事铁路客货运输、房地产开发与经营、康体养生养老开发、农业观光旅游项目开发等业务。</w:t>
      </w:r>
    </w:p>
    <w:p w14:paraId="68A99E62">
      <w:pPr>
        <w:pStyle w:val="52"/>
        <w:ind w:firstLine="480"/>
        <w:rPr>
          <w:rFonts w:ascii="宋体" w:hAnsi="宋体" w:cs="宋体"/>
          <w:highlight w:val="none"/>
        </w:rPr>
      </w:pPr>
      <w:r>
        <w:rPr>
          <w:rFonts w:ascii="宋体" w:hAnsi="宋体" w:cs="宋体"/>
          <w:highlight w:val="none"/>
        </w:rPr>
        <w:t>都金公司设成都分公司，内设10个部门（综合办公室、</w:t>
      </w:r>
      <w:r>
        <w:rPr>
          <w:rFonts w:hint="eastAsia" w:ascii="宋体" w:hAnsi="宋体" w:cs="宋体"/>
          <w:highlight w:val="none"/>
          <w:lang w:val="en-US" w:eastAsia="zh-CN"/>
        </w:rPr>
        <w:t>建设管理部</w:t>
      </w:r>
      <w:r>
        <w:rPr>
          <w:rFonts w:ascii="宋体" w:hAnsi="宋体" w:cs="宋体"/>
          <w:highlight w:val="none"/>
        </w:rPr>
        <w:t>、安全</w:t>
      </w:r>
      <w:r>
        <w:rPr>
          <w:rFonts w:hint="eastAsia" w:ascii="宋体" w:hAnsi="宋体" w:cs="宋体"/>
          <w:highlight w:val="none"/>
          <w:lang w:val="en-US" w:eastAsia="zh-CN"/>
        </w:rPr>
        <w:t>质量</w:t>
      </w:r>
      <w:r>
        <w:rPr>
          <w:rFonts w:ascii="宋体" w:hAnsi="宋体" w:cs="宋体"/>
          <w:highlight w:val="none"/>
        </w:rPr>
        <w:t>环保和应急管理部、征拆协调部、运营</w:t>
      </w:r>
      <w:r>
        <w:rPr>
          <w:rFonts w:hint="eastAsia" w:ascii="宋体" w:hAnsi="宋体" w:cs="宋体"/>
          <w:highlight w:val="none"/>
          <w:lang w:val="en-US" w:eastAsia="zh-CN"/>
        </w:rPr>
        <w:t>管理事业</w:t>
      </w:r>
      <w:r>
        <w:rPr>
          <w:rFonts w:ascii="宋体" w:hAnsi="宋体" w:cs="宋体"/>
          <w:highlight w:val="none"/>
        </w:rPr>
        <w:t>部、都江堰代表处、卧龙代表处、小金代表处、党群工作部（</w:t>
      </w:r>
      <w:r>
        <w:rPr>
          <w:rFonts w:hint="eastAsia" w:ascii="宋体" w:hAnsi="宋体" w:cs="宋体"/>
          <w:highlight w:val="none"/>
          <w:lang w:val="en-US" w:eastAsia="zh-CN"/>
        </w:rPr>
        <w:t>人力资源部、宣传部、工会办公室、统战部</w:t>
      </w:r>
      <w:r>
        <w:rPr>
          <w:rFonts w:ascii="宋体" w:hAnsi="宋体" w:cs="宋体"/>
          <w:highlight w:val="none"/>
        </w:rPr>
        <w:t>）、财务管理部</w:t>
      </w:r>
      <w:r>
        <w:rPr>
          <w:rFonts w:hint="eastAsia" w:ascii="宋体" w:hAnsi="宋体" w:cs="宋体"/>
          <w:highlight w:val="none"/>
          <w:lang w:eastAsia="zh-CN"/>
        </w:rPr>
        <w:t>、</w:t>
      </w:r>
      <w:r>
        <w:rPr>
          <w:rFonts w:ascii="宋体" w:hAnsi="宋体" w:cs="宋体"/>
          <w:highlight w:val="none"/>
        </w:rPr>
        <w:t>纪检办公室），员工47人，党员19人。当前，公司主要作为项目法人承建国内首个山地轨道（轮轨+齿轨）交通项目-都江堰至四姑娘山山地轨道交通扶贫项目（简称都四项目）的建设及后期运营管理。都四项目起于都江堰市区成灌高铁枢纽站，止于阿坝州小金县四姑娘山镇，线路全长123.18公里，概算总投资215.89亿元，全线共设车站12座。项目按山地轨道交通制式设计，以客运功能为主，兼顾货运。正线为双线，轨距1000毫米，限制坡度轮轨段4%，齿轨段提高到12%，行车最高速度120公里/小时，齿轨路段30公里/小时。</w:t>
      </w:r>
    </w:p>
    <w:p w14:paraId="147D228A">
      <w:pPr>
        <w:pStyle w:val="52"/>
        <w:ind w:firstLine="480"/>
        <w:rPr>
          <w:rFonts w:ascii="宋体" w:hAnsi="宋体" w:cs="宋体"/>
          <w:highlight w:val="none"/>
        </w:rPr>
      </w:pPr>
      <w:r>
        <w:rPr>
          <w:rFonts w:hint="eastAsia" w:ascii="宋体" w:hAnsi="宋体" w:cs="宋体"/>
          <w:highlight w:val="none"/>
        </w:rPr>
        <w:t>为贯彻落实《四川省交通运输厅网络安全事件应急预案》、《蜀道投资集团有限责任公司网络安全管理办法（试行）》和《蜀道投资集团有限责任公司网络安全事件应急预案（试行）》要求，以及公司网络安全工作实际需求，确保能够及时处置和完成网络安全日常运维相关技术保障工作，需要对现有办公网设备进行加固，确保系统的网络安全性，为解决网络安全运维要求高、专业技术强与专业人员缺乏这一突出矛盾，拟实施都四项目办公网络加固项目。（项目采购清单见附表）</w:t>
      </w:r>
    </w:p>
    <w:p w14:paraId="55D670CD">
      <w:pPr>
        <w:pStyle w:val="52"/>
        <w:ind w:firstLine="480"/>
        <w:rPr>
          <w:rFonts w:ascii="宋体" w:hAnsi="宋体" w:cs="宋体"/>
          <w:highlight w:val="none"/>
        </w:rPr>
      </w:pPr>
    </w:p>
    <w:p w14:paraId="103D770D">
      <w:pPr>
        <w:pStyle w:val="52"/>
        <w:ind w:firstLine="480"/>
        <w:rPr>
          <w:rFonts w:ascii="宋体" w:hAnsi="宋体" w:cs="宋体"/>
          <w:highlight w:val="none"/>
        </w:rPr>
      </w:pPr>
    </w:p>
    <w:p w14:paraId="768FF38F">
      <w:pPr>
        <w:pStyle w:val="52"/>
        <w:ind w:firstLine="480"/>
        <w:rPr>
          <w:rFonts w:ascii="宋体" w:hAnsi="宋体" w:cs="宋体"/>
          <w:highlight w:val="none"/>
        </w:rPr>
      </w:pPr>
    </w:p>
    <w:p w14:paraId="5A322D53">
      <w:pPr>
        <w:pStyle w:val="52"/>
        <w:ind w:firstLine="480"/>
        <w:rPr>
          <w:rFonts w:ascii="宋体" w:hAnsi="宋体" w:cs="宋体"/>
          <w:highlight w:val="none"/>
        </w:rPr>
      </w:pPr>
    </w:p>
    <w:p w14:paraId="58A26226">
      <w:pPr>
        <w:pStyle w:val="52"/>
        <w:ind w:firstLine="480"/>
        <w:rPr>
          <w:rFonts w:ascii="宋体" w:hAnsi="宋体" w:cs="宋体"/>
          <w:highlight w:val="none"/>
        </w:rPr>
      </w:pPr>
    </w:p>
    <w:p w14:paraId="6F0ECA3F">
      <w:pPr>
        <w:pStyle w:val="52"/>
        <w:ind w:firstLine="480"/>
        <w:rPr>
          <w:rFonts w:ascii="宋体" w:hAnsi="宋体" w:cs="宋体"/>
          <w:highlight w:val="none"/>
        </w:rPr>
      </w:pPr>
    </w:p>
    <w:p w14:paraId="680BBD8C">
      <w:pPr>
        <w:pStyle w:val="52"/>
        <w:ind w:firstLine="480"/>
        <w:rPr>
          <w:rFonts w:ascii="宋体" w:hAnsi="宋体" w:cs="宋体"/>
          <w:highlight w:val="none"/>
        </w:rPr>
      </w:pPr>
    </w:p>
    <w:p w14:paraId="53927CAA">
      <w:pPr>
        <w:pStyle w:val="52"/>
        <w:ind w:firstLine="480"/>
        <w:rPr>
          <w:rFonts w:ascii="宋体" w:hAnsi="宋体" w:cs="宋体"/>
          <w:highlight w:val="none"/>
        </w:rPr>
      </w:pPr>
    </w:p>
    <w:p w14:paraId="3AA0EE5C">
      <w:pPr>
        <w:pStyle w:val="52"/>
        <w:numPr>
          <w:ilvl w:val="0"/>
          <w:numId w:val="5"/>
        </w:numPr>
        <w:ind w:firstLine="0" w:firstLineChars="0"/>
        <w:jc w:val="both"/>
        <w:outlineLvl w:val="1"/>
        <w:rPr>
          <w:rFonts w:hAnsi="宋体"/>
          <w:b/>
          <w:bCs/>
          <w:sz w:val="30"/>
          <w:szCs w:val="30"/>
          <w:highlight w:val="none"/>
        </w:rPr>
      </w:pPr>
      <w:bookmarkStart w:id="36" w:name="_Toc10490"/>
      <w:bookmarkStart w:id="37" w:name="_Toc8301"/>
      <w:bookmarkStart w:id="38" w:name="_Toc29250"/>
      <w:bookmarkStart w:id="39" w:name="_Toc29719"/>
      <w:bookmarkStart w:id="40" w:name="_Toc23865"/>
      <w:r>
        <w:rPr>
          <w:rFonts w:hint="eastAsia" w:hAnsi="宋体"/>
          <w:b/>
          <w:bCs/>
          <w:sz w:val="30"/>
          <w:szCs w:val="30"/>
          <w:highlight w:val="none"/>
        </w:rPr>
        <w:t>采购清单</w:t>
      </w:r>
      <w:bookmarkEnd w:id="36"/>
      <w:bookmarkEnd w:id="37"/>
      <w:bookmarkEnd w:id="38"/>
      <w:bookmarkEnd w:id="39"/>
      <w:bookmarkEnd w:id="40"/>
    </w:p>
    <w:tbl>
      <w:tblPr>
        <w:tblStyle w:val="43"/>
        <w:tblW w:w="4900" w:type="pct"/>
        <w:tblInd w:w="0" w:type="dxa"/>
        <w:tblLayout w:type="fixed"/>
        <w:tblCellMar>
          <w:top w:w="0" w:type="dxa"/>
          <w:left w:w="108" w:type="dxa"/>
          <w:bottom w:w="0" w:type="dxa"/>
          <w:right w:w="108" w:type="dxa"/>
        </w:tblCellMar>
      </w:tblPr>
      <w:tblGrid>
        <w:gridCol w:w="619"/>
        <w:gridCol w:w="866"/>
        <w:gridCol w:w="3068"/>
        <w:gridCol w:w="786"/>
        <w:gridCol w:w="1988"/>
        <w:gridCol w:w="1025"/>
      </w:tblGrid>
      <w:tr w14:paraId="5B0F0FF2">
        <w:tblPrEx>
          <w:tblCellMar>
            <w:top w:w="0" w:type="dxa"/>
            <w:left w:w="108" w:type="dxa"/>
            <w:bottom w:w="0" w:type="dxa"/>
            <w:right w:w="108" w:type="dxa"/>
          </w:tblCellMar>
        </w:tblPrEx>
        <w:trPr>
          <w:trHeight w:val="90" w:hRule="atLeast"/>
          <w:tblHead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278C560">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序号</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23A80D08">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类别</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0EB753A7">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服务内容/产品描述、规格与模块</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6D492230">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频率/数量</w:t>
            </w: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14:paraId="46764036">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说明</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0C1600AB">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服务形式</w:t>
            </w:r>
          </w:p>
        </w:tc>
      </w:tr>
      <w:tr w14:paraId="7EE4C7F0">
        <w:tblPrEx>
          <w:tblCellMar>
            <w:top w:w="0" w:type="dxa"/>
            <w:left w:w="108" w:type="dxa"/>
            <w:bottom w:w="0" w:type="dxa"/>
            <w:right w:w="108" w:type="dxa"/>
          </w:tblCellMar>
        </w:tblPrEx>
        <w:trPr>
          <w:trHeight w:val="9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70CDD1F">
            <w:pPr>
              <w:widowControl/>
              <w:spacing w:line="240" w:lineRule="auto"/>
              <w:ind w:firstLine="0" w:firstLineChars="0"/>
              <w:jc w:val="center"/>
              <w:textAlignment w:val="center"/>
              <w:rPr>
                <w:rFonts w:ascii="宋体" w:hAnsi="宋体" w:cs="宋体"/>
                <w:color w:val="000000"/>
                <w:sz w:val="18"/>
                <w:szCs w:val="18"/>
                <w:highlight w:val="none"/>
              </w:rPr>
            </w:pPr>
            <w:bookmarkStart w:id="41" w:name="_Toc5249"/>
            <w:bookmarkStart w:id="42" w:name="_Toc18587"/>
            <w:bookmarkStart w:id="43" w:name="_Toc487650536"/>
            <w:bookmarkStart w:id="44" w:name="_Toc20605"/>
            <w:bookmarkStart w:id="45" w:name="_Toc29434"/>
            <w:r>
              <w:rPr>
                <w:rFonts w:hint="eastAsia" w:ascii="宋体" w:hAnsi="宋体" w:cs="宋体"/>
                <w:color w:val="000000"/>
                <w:sz w:val="18"/>
                <w:szCs w:val="18"/>
                <w:highlight w:val="none"/>
                <w:lang w:bidi="ar"/>
              </w:rPr>
              <w:t>1</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2CEF4A2A">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风险评估</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0C24907D">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参照等保2.0三级标准、交通运输部和集团相关文件要求，对各业务系统完成风险评估工作，包含漏洞扫描、基线检查、渗透测试等工作，输出：《风险评估报告》</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7911189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1次/个/年</w:t>
            </w: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14:paraId="043CAB1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包含都金建管平台、环水保平台和轨道智慧平台3个系统，满足蜀道集团相关文件中1年1次的要求</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64E5F811">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现场+线上服务</w:t>
            </w:r>
          </w:p>
        </w:tc>
      </w:tr>
      <w:tr w14:paraId="1542EEA6">
        <w:tblPrEx>
          <w:tblCellMar>
            <w:top w:w="0" w:type="dxa"/>
            <w:left w:w="108" w:type="dxa"/>
            <w:bottom w:w="0" w:type="dxa"/>
            <w:right w:w="108" w:type="dxa"/>
          </w:tblCellMar>
        </w:tblPrEx>
        <w:trPr>
          <w:trHeight w:val="56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6F806BF1">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2</w:t>
            </w:r>
          </w:p>
        </w:tc>
        <w:tc>
          <w:tcPr>
            <w:tcW w:w="5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0858D6">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业务系统网络安全运维</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025F4587">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开展策略配置、网络优化配置、病毒查杀、弱口令修改、漏洞打补丁工作，及时</w:t>
            </w:r>
            <w:r>
              <w:rPr>
                <w:rFonts w:hint="eastAsia" w:ascii="宋体" w:hAnsi="宋体" w:cs="宋体"/>
                <w:color w:val="000000"/>
                <w:sz w:val="18"/>
                <w:szCs w:val="18"/>
                <w:highlight w:val="none"/>
                <w:lang w:val="en-US" w:eastAsia="zh-CN" w:bidi="ar"/>
              </w:rPr>
              <w:t>协助</w:t>
            </w:r>
            <w:r>
              <w:rPr>
                <w:rFonts w:hint="eastAsia" w:ascii="宋体" w:hAnsi="宋体" w:cs="宋体"/>
                <w:color w:val="000000"/>
                <w:sz w:val="18"/>
                <w:szCs w:val="18"/>
                <w:highlight w:val="none"/>
                <w:lang w:bidi="ar"/>
              </w:rPr>
              <w:t>更新相应的病毒库、规则库、特征库。</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575579EB">
            <w:pPr>
              <w:widowControl/>
              <w:spacing w:line="240" w:lineRule="auto"/>
              <w:ind w:firstLine="0" w:firstLineChars="0"/>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2次/年</w:t>
            </w:r>
          </w:p>
        </w:tc>
        <w:tc>
          <w:tcPr>
            <w:tcW w:w="1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B52433">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参照等保2.0三级标准、蜀道集团相关要求，开展2次现场运维工作，并按需开展线上服务工作</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15AD65AA">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现场运维+线上服务</w:t>
            </w:r>
          </w:p>
        </w:tc>
      </w:tr>
      <w:tr w14:paraId="1D18BB72">
        <w:tblPrEx>
          <w:tblCellMar>
            <w:top w:w="0" w:type="dxa"/>
            <w:left w:w="108" w:type="dxa"/>
            <w:bottom w:w="0" w:type="dxa"/>
            <w:right w:w="108" w:type="dxa"/>
          </w:tblCellMar>
        </w:tblPrEx>
        <w:trPr>
          <w:trHeight w:val="56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706005C0">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3</w:t>
            </w:r>
          </w:p>
        </w:tc>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3A895">
            <w:pPr>
              <w:spacing w:line="240" w:lineRule="auto"/>
              <w:ind w:firstLine="360"/>
              <w:jc w:val="center"/>
              <w:rPr>
                <w:rFonts w:ascii="宋体" w:hAnsi="宋体" w:cs="宋体"/>
                <w:color w:val="000000"/>
                <w:sz w:val="18"/>
                <w:szCs w:val="18"/>
                <w:highlight w:val="none"/>
              </w:rPr>
            </w:pP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06AA6265">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检查各业务主机的系统和业务软件补丁的加载情况，以及关键设备上的安全策略配置情况。</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7E3C88C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按需</w:t>
            </w:r>
          </w:p>
        </w:tc>
        <w:tc>
          <w:tcPr>
            <w:tcW w:w="1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B3AC1">
            <w:pPr>
              <w:spacing w:line="240" w:lineRule="auto"/>
              <w:ind w:firstLine="360"/>
              <w:jc w:val="center"/>
              <w:rPr>
                <w:rFonts w:ascii="宋体" w:hAnsi="宋体" w:cs="宋体"/>
                <w:color w:val="000000"/>
                <w:sz w:val="18"/>
                <w:szCs w:val="18"/>
                <w:highlight w:val="none"/>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EDF89D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现场运维+线上服务</w:t>
            </w:r>
          </w:p>
        </w:tc>
      </w:tr>
      <w:tr w14:paraId="67AE3F0A">
        <w:tblPrEx>
          <w:tblCellMar>
            <w:top w:w="0" w:type="dxa"/>
            <w:left w:w="108" w:type="dxa"/>
            <w:bottom w:w="0" w:type="dxa"/>
            <w:right w:w="108" w:type="dxa"/>
          </w:tblCellMar>
        </w:tblPrEx>
        <w:trPr>
          <w:trHeight w:val="84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33AB30F">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4</w:t>
            </w:r>
          </w:p>
        </w:tc>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AA670">
            <w:pPr>
              <w:spacing w:line="240" w:lineRule="auto"/>
              <w:ind w:firstLine="360"/>
              <w:jc w:val="center"/>
              <w:rPr>
                <w:rFonts w:ascii="宋体" w:hAnsi="宋体" w:cs="宋体"/>
                <w:color w:val="000000"/>
                <w:sz w:val="18"/>
                <w:szCs w:val="18"/>
                <w:highlight w:val="none"/>
              </w:rPr>
            </w:pP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58347D48">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出现网络安全事件时及时到场支撑，完成系统修复、溯源取证、攻击复盘等事后工作。包含病毒和蠕虫事件、黑客入侵事件、误操作或设备故障事件等</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63E8FE98">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按需</w:t>
            </w:r>
          </w:p>
        </w:tc>
        <w:tc>
          <w:tcPr>
            <w:tcW w:w="1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FF60F">
            <w:pPr>
              <w:spacing w:line="240" w:lineRule="auto"/>
              <w:ind w:firstLine="360"/>
              <w:jc w:val="center"/>
              <w:rPr>
                <w:rFonts w:ascii="宋体" w:hAnsi="宋体" w:cs="宋体"/>
                <w:color w:val="000000"/>
                <w:sz w:val="18"/>
                <w:szCs w:val="18"/>
                <w:highlight w:val="none"/>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06541">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w:t>
            </w:r>
          </w:p>
        </w:tc>
      </w:tr>
      <w:tr w14:paraId="29D03508">
        <w:tblPrEx>
          <w:tblCellMar>
            <w:top w:w="0" w:type="dxa"/>
            <w:left w:w="108" w:type="dxa"/>
            <w:bottom w:w="0" w:type="dxa"/>
            <w:right w:w="108" w:type="dxa"/>
          </w:tblCellMar>
        </w:tblPrEx>
        <w:trPr>
          <w:trHeight w:val="56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42E25BAF">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5</w:t>
            </w:r>
          </w:p>
        </w:tc>
        <w:tc>
          <w:tcPr>
            <w:tcW w:w="5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ACF43">
            <w:pPr>
              <w:spacing w:line="240" w:lineRule="auto"/>
              <w:ind w:firstLine="360"/>
              <w:jc w:val="center"/>
              <w:rPr>
                <w:rFonts w:ascii="宋体" w:hAnsi="宋体" w:cs="宋体"/>
                <w:color w:val="000000"/>
                <w:sz w:val="18"/>
                <w:szCs w:val="18"/>
                <w:highlight w:val="none"/>
              </w:rPr>
            </w:pP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6DB122AC">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其他网络安全事件处理，包含支撑上级单位攻防演练、各级领导参观的现场支撑等工作。</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0F4F461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按需</w:t>
            </w:r>
          </w:p>
        </w:tc>
        <w:tc>
          <w:tcPr>
            <w:tcW w:w="11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5E0F9">
            <w:pPr>
              <w:spacing w:line="240" w:lineRule="auto"/>
              <w:ind w:firstLine="360"/>
              <w:jc w:val="center"/>
              <w:rPr>
                <w:rFonts w:ascii="宋体" w:hAnsi="宋体" w:cs="宋体"/>
                <w:color w:val="000000"/>
                <w:sz w:val="18"/>
                <w:szCs w:val="18"/>
                <w:highlight w:val="none"/>
              </w:rPr>
            </w:pP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26FD2">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w:t>
            </w:r>
          </w:p>
        </w:tc>
      </w:tr>
      <w:tr w14:paraId="2463EED8">
        <w:tblPrEx>
          <w:tblCellMar>
            <w:top w:w="0" w:type="dxa"/>
            <w:left w:w="108" w:type="dxa"/>
            <w:bottom w:w="0" w:type="dxa"/>
            <w:right w:w="108" w:type="dxa"/>
          </w:tblCellMar>
        </w:tblPrEx>
        <w:trPr>
          <w:trHeight w:val="56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C98C29F">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6</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731FBB00">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网络安全重保服务</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02144954">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按照等保2.0三级标准、蜀道集团相关要求，在重要保障期前对业务系统进行网络安全检查，确保公司业务系统稳定运行。</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5249A2E2">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4次</w:t>
            </w: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14:paraId="696DEA89">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春节、十一、全国两会和护网前夕，到场检查并安排线上值守</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3B6E022E">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现场运维+线上服务</w:t>
            </w:r>
          </w:p>
        </w:tc>
      </w:tr>
      <w:tr w14:paraId="5B78B130">
        <w:tblPrEx>
          <w:tblCellMar>
            <w:top w:w="0" w:type="dxa"/>
            <w:left w:w="108" w:type="dxa"/>
            <w:bottom w:w="0" w:type="dxa"/>
            <w:right w:w="108" w:type="dxa"/>
          </w:tblCellMar>
        </w:tblPrEx>
        <w:trPr>
          <w:trHeight w:val="56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3D41E184">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7</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45E60CE4">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安全培训宣传</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03B8AC13">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针对所有人员进行网络安全意识和实际操作培训，并在网络安全宣传周提供相应安全宣传资料</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3DF38FE9">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14:paraId="1887F218">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满足蜀道集团相关文件中1年1次的要求</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6921ADF5">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现场服务</w:t>
            </w:r>
          </w:p>
        </w:tc>
      </w:tr>
      <w:tr w14:paraId="3104A05A">
        <w:tblPrEx>
          <w:tblCellMar>
            <w:top w:w="0" w:type="dxa"/>
            <w:left w:w="108" w:type="dxa"/>
            <w:bottom w:w="0" w:type="dxa"/>
            <w:right w:w="108" w:type="dxa"/>
          </w:tblCellMar>
        </w:tblPrEx>
        <w:trPr>
          <w:trHeight w:val="56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47B0B14">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8</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76DE9C9D">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安全应急演练</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269AF6F2">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提前沟通演练场景并选择适合的漏洞制定演练方案和剧本，择时间进行网络安全应急演练</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40923AD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vAlign w:val="center"/>
          </w:tcPr>
          <w:p w14:paraId="52221B73">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满足蜀道集团相关文件中1年1次的要求</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7E9A6308">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现场服务</w:t>
            </w:r>
          </w:p>
        </w:tc>
      </w:tr>
      <w:tr w14:paraId="401D32C9">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28FA366">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9</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6593356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办公网防火墙系统</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63ADD8C2">
            <w:pPr>
              <w:widowControl/>
              <w:spacing w:line="240" w:lineRule="auto"/>
              <w:ind w:firstLine="0" w:firstLineChars="0"/>
              <w:jc w:val="both"/>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1、1U机型,配置双电源,≥16个千兆电口，, ≥4个千兆Combo接口,6个千兆光口,2个万兆SFP+,支持≥2*扩展插槽,支持</w:t>
            </w:r>
          </w:p>
          <w:p w14:paraId="7EB82757">
            <w:pPr>
              <w:widowControl/>
              <w:spacing w:line="240" w:lineRule="auto"/>
              <w:ind w:firstLine="0" w:firstLineChars="0"/>
              <w:jc w:val="both"/>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2、配置≥15个并发SSLVPN用户授权，配置≥3年IPS、防病毒、应用识别特征库升级服务；</w:t>
            </w:r>
            <w:r>
              <w:rPr>
                <w:rFonts w:hint="eastAsia" w:ascii="宋体" w:hAnsi="宋体" w:cs="宋体"/>
                <w:color w:val="000000"/>
                <w:sz w:val="18"/>
                <w:szCs w:val="18"/>
                <w:highlight w:val="none"/>
                <w:lang w:bidi="ar"/>
              </w:rPr>
              <w:br w:type="textWrapping"/>
            </w:r>
            <w:r>
              <w:rPr>
                <w:rFonts w:hint="eastAsia" w:ascii="宋体" w:hAnsi="宋体" w:cs="宋体"/>
                <w:color w:val="000000"/>
                <w:sz w:val="18"/>
                <w:szCs w:val="18"/>
                <w:highlight w:val="none"/>
                <w:lang w:bidi="ar"/>
              </w:rPr>
              <w:t>3、整机吞吐量≥6G,最大并发连接数≥300W,新建连接数≥6W。</w:t>
            </w:r>
          </w:p>
          <w:p w14:paraId="11B912E9">
            <w:pPr>
              <w:widowControl/>
              <w:spacing w:line="240" w:lineRule="auto"/>
              <w:ind w:firstLine="0" w:firstLineChars="0"/>
              <w:jc w:val="left"/>
              <w:textAlignment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4、支持IPsec VPN智能选路，根据隧道质量调度流量</w:t>
            </w:r>
          </w:p>
          <w:p w14:paraId="62B9A816">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5、支持多用户共享上网行为管理</w:t>
            </w:r>
          </w:p>
          <w:p w14:paraId="608C26F7">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支持数据防泄露，对传输的文件和内容进行识别过滤，对内容与身份证号、信用卡号、银行卡号、手机号等类型进行匹配6、提供三年原厂软硬件维保，签订合同时提供原厂售后服务承诺并加盖原厂公章。</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41E0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5BEE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核心设备</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1F39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79F8199B">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68D6DB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10</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1DD63D29">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终端安全系统</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3725EBCC">
            <w:pPr>
              <w:widowControl/>
              <w:numPr>
                <w:ilvl w:val="0"/>
                <w:numId w:val="6"/>
              </w:numPr>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系统中心，实现终端安全系统的集中管理、策略配置、报表查看等功能。</w:t>
            </w:r>
          </w:p>
          <w:p w14:paraId="30FE0F5A">
            <w:pPr>
              <w:widowControl/>
              <w:numPr>
                <w:ilvl w:val="0"/>
                <w:numId w:val="0"/>
              </w:numPr>
              <w:spacing w:line="240" w:lineRule="auto"/>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2、Windows客户端基础版授权许可,提供病毒防护、漏洞管理、边界管理、软件管理、IP/MAC管控、网络管控、XP防护盾、流量管控等功能。</w:t>
            </w:r>
          </w:p>
          <w:p w14:paraId="1EFF9E47">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3、提供三年原厂软硬件维保，签订合同时提供原厂售后服务承诺并加盖原厂公章。</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683C4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150</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2265C">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核心设备</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2412B">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4B1F2434">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0421D22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11</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4842050B">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上网行为管理</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6C52769B">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1、≥1U机架式。含交流单电源模块, ≥10个千兆电口, ≥4个千兆Combo接口（光电复用）, ≥1T硬盘。</w:t>
            </w:r>
          </w:p>
          <w:p w14:paraId="29E695FB">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2、配置≥3年上网行为管理特征库升级授权。</w:t>
            </w:r>
            <w:r>
              <w:rPr>
                <w:rFonts w:hint="eastAsia" w:ascii="宋体" w:hAnsi="宋体" w:cs="宋体"/>
                <w:color w:val="000000"/>
                <w:sz w:val="18"/>
                <w:szCs w:val="18"/>
                <w:highlight w:val="none"/>
                <w:lang w:bidi="ar"/>
              </w:rPr>
              <w:br w:type="textWrapping"/>
            </w:r>
            <w:r>
              <w:rPr>
                <w:rFonts w:hint="eastAsia" w:ascii="宋体" w:hAnsi="宋体" w:cs="宋体"/>
                <w:color w:val="000000"/>
                <w:sz w:val="18"/>
                <w:szCs w:val="18"/>
                <w:highlight w:val="none"/>
                <w:lang w:bidi="ar"/>
              </w:rPr>
              <w:t>3、网络层吞吐≥3Gbps，应用层吞吐≥2Gbps，每秒新建连接数≥2万，最大并发连接数≥50万</w:t>
            </w:r>
          </w:p>
          <w:p w14:paraId="23A746F7">
            <w:pPr>
              <w:widowControl/>
              <w:spacing w:line="240" w:lineRule="auto"/>
              <w:ind w:firstLine="0" w:firstLineChars="0"/>
              <w:jc w:val="left"/>
              <w:textAlignment w:val="center"/>
              <w:rPr>
                <w:rFonts w:cs="宋体" w:asciiTheme="minorEastAsia" w:hAnsiTheme="minorEastAsia" w:eastAsiaTheme="minorEastAsia"/>
                <w:sz w:val="18"/>
                <w:szCs w:val="18"/>
                <w:highlight w:val="none"/>
              </w:rPr>
            </w:pPr>
            <w:r>
              <w:rPr>
                <w:rFonts w:hint="eastAsia" w:ascii="宋体" w:hAnsi="宋体" w:cs="宋体"/>
                <w:color w:val="000000"/>
                <w:sz w:val="18"/>
                <w:szCs w:val="18"/>
                <w:highlight w:val="none"/>
                <w:lang w:bidi="ar"/>
              </w:rPr>
              <w:t>4、</w:t>
            </w:r>
            <w:r>
              <w:rPr>
                <w:rFonts w:hint="eastAsia" w:cs="宋体" w:asciiTheme="minorEastAsia" w:hAnsiTheme="minorEastAsia" w:eastAsiaTheme="minorEastAsia"/>
                <w:sz w:val="18"/>
                <w:szCs w:val="18"/>
                <w:highlight w:val="none"/>
              </w:rPr>
              <w:t>支持4G USB 插卡。支持在4G接口上运行IPSec VPN</w:t>
            </w:r>
          </w:p>
          <w:p w14:paraId="46425291">
            <w:pPr>
              <w:widowControl/>
              <w:spacing w:line="240" w:lineRule="auto"/>
              <w:ind w:firstLine="0" w:firstLineChars="0"/>
              <w:jc w:val="left"/>
              <w:textAlignment w:val="center"/>
              <w:rPr>
                <w:rFonts w:cs="宋体" w:asciiTheme="minorEastAsia" w:hAnsiTheme="minorEastAsia" w:eastAsiaTheme="minorEastAsia"/>
                <w:sz w:val="18"/>
                <w:szCs w:val="18"/>
                <w:highlight w:val="none"/>
              </w:rPr>
            </w:pPr>
            <w:r>
              <w:rPr>
                <w:rFonts w:hint="eastAsia" w:cs="宋体" w:asciiTheme="minorEastAsia" w:hAnsiTheme="minorEastAsia" w:eastAsiaTheme="minorEastAsia"/>
                <w:sz w:val="18"/>
                <w:szCs w:val="18"/>
                <w:highlight w:val="none"/>
              </w:rPr>
              <w:t>5、支持基于接口和目的地址进行健康检查，可自定义检查间隔、重试次数等</w:t>
            </w:r>
          </w:p>
          <w:p w14:paraId="354A33BA">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cs="宋体" w:asciiTheme="minorEastAsia" w:hAnsiTheme="minorEastAsia" w:eastAsiaTheme="minorEastAsia"/>
                <w:sz w:val="18"/>
                <w:szCs w:val="18"/>
                <w:highlight w:val="none"/>
              </w:rPr>
              <w:t>6、针对私接网络行为，惩罚方式包括但不限于无操作、阻断和限速，阻断和限速支持自定义惩罚时长</w:t>
            </w:r>
          </w:p>
          <w:p w14:paraId="729A11A4">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7、提供三年原厂软硬件维保，签订合同时提供原厂售后服务承诺并加盖原厂公章</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8468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04ED8">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核心设备</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FCD0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42374DCD">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767CB0F2">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12</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61B3C79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办公网路由器</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0B0A7D35">
            <w:pPr>
              <w:pStyle w:val="164"/>
              <w:widowControl/>
              <w:numPr>
                <w:ilvl w:val="0"/>
                <w:numId w:val="0"/>
              </w:numPr>
              <w:spacing w:line="240" w:lineRule="auto"/>
              <w:ind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1.三层包转发率≥200Kpps，NAT会话数≥16万条</w:t>
            </w:r>
          </w:p>
          <w:p w14:paraId="06577A10">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2.≥1千兆光/电复用WAN，≥4千兆LAN</w:t>
            </w:r>
          </w:p>
          <w:p w14:paraId="2C9FB52A">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3.支持AC管理，默认可管理AP≥300个；</w:t>
            </w:r>
          </w:p>
          <w:p w14:paraId="0187C535">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4.支持多种WAN链路负载分担模式：基于运营商目的地址、基于WAN链路带宽、基于策略路由等</w:t>
            </w:r>
          </w:p>
          <w:p w14:paraId="3971FC48">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5.支持抖音、爱奇艺、优酷、京东、淘宝等互联网常见应用的识别和控制</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4A28C">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E7151">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B7384">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64F71BC1">
        <w:tblPrEx>
          <w:tblCellMar>
            <w:top w:w="0" w:type="dxa"/>
            <w:left w:w="108" w:type="dxa"/>
            <w:bottom w:w="0" w:type="dxa"/>
            <w:right w:w="108" w:type="dxa"/>
          </w:tblCellMar>
        </w:tblPrEx>
        <w:trPr>
          <w:trHeight w:val="918"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65BB46D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13</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1521D8D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无限ac控制器</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692A20B1">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1、支持≥ 2个2.5GE接口， ≥8个千兆电口，≥2个SFP+万兆光口</w:t>
            </w:r>
          </w:p>
          <w:p w14:paraId="4A2C323B">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2、支持最大管理≥512个AP，配置≥含32个AP授权。</w:t>
            </w:r>
          </w:p>
          <w:p w14:paraId="09EB2013">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3、内置双电源。</w:t>
            </w:r>
          </w:p>
          <w:p w14:paraId="353299DD">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4、支持PPPOE、NAT网关功能。</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EFC9B">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FECB5">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0A7E0">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4D37D99D">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2ECD47B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14</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257BBDD1">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办公室无线ap</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277DC1FA">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1、整机采用双频四流设计，最大接入速率≥2.975Gbps；≥1个（10/100/1000M电口）；</w:t>
            </w:r>
          </w:p>
          <w:p w14:paraId="20A4949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2、支持</w:t>
            </w:r>
            <w:r>
              <w:rPr>
                <w:rFonts w:ascii="宋体" w:hAnsi="宋体" w:cs="宋体"/>
                <w:color w:val="000000"/>
                <w:sz w:val="18"/>
                <w:szCs w:val="18"/>
                <w:highlight w:val="none"/>
                <w:lang w:bidi="ar"/>
              </w:rPr>
              <w:t>802.11ax</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7C57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46</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F47D9">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F5CD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1592C1D8">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06A603A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15</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776E075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交换机</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1AA16A7F">
            <w:pPr>
              <w:pStyle w:val="164"/>
              <w:widowControl/>
              <w:numPr>
                <w:ilvl w:val="0"/>
                <w:numId w:val="7"/>
              </w:numPr>
              <w:spacing w:line="240" w:lineRule="auto"/>
              <w:ind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交换容量:256Gbps；包转发率：78Mpps；</w:t>
            </w:r>
          </w:p>
          <w:p w14:paraId="738FF13C">
            <w:pPr>
              <w:pStyle w:val="164"/>
              <w:widowControl/>
              <w:numPr>
                <w:ilvl w:val="0"/>
                <w:numId w:val="7"/>
              </w:numPr>
              <w:spacing w:line="240" w:lineRule="auto"/>
              <w:ind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24个10/100/1000Base-T电口+4个1000Base-X SFP光口；1个Console口</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2DD94">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3A56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F6E8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4FE30959">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57BC0E4A">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16</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153E4F0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POE交换机</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56F2A7D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 接口类型：≥24个GE端口，≥4个千兆SFP口（非复用）；含光模块；</w:t>
            </w:r>
          </w:p>
          <w:p w14:paraId="403F134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 性能：交换容量≥192Gbps；转发性能≥42Mpps；单端口最大供电功率30W；整机POE供电功率不少于385W；</w:t>
            </w:r>
          </w:p>
          <w:p w14:paraId="48FE6E1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3、 支持跨设备链路聚合；支持虚拟化功能，最大虚拟化台数≥9台，并由统一IP地址管理；支持802.1Q (最大4K个VLAN)、支持基于协议的VLAN、IP子网的VLAN、MAC的VLAN；支持静态路由、RIP、支持IPv6静态路由、双协议栈；支持二层、三层、四层ACL、支持IPv4、IPv6 ACL、支持VLAN ACL；支持IP＋MAC+PORT+VLAN绑定、SAVI 源地址有效性验证、防Ddos攻击</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31D75">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55A8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8A18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51ECB91D">
        <w:tblPrEx>
          <w:tblCellMar>
            <w:top w:w="0" w:type="dxa"/>
            <w:left w:w="108" w:type="dxa"/>
            <w:bottom w:w="0" w:type="dxa"/>
            <w:right w:w="108" w:type="dxa"/>
          </w:tblCellMar>
        </w:tblPrEx>
        <w:trPr>
          <w:trHeight w:val="300" w:hRule="atLeast"/>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14:paraId="13CD66E4">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17</w:t>
            </w:r>
          </w:p>
        </w:tc>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14:paraId="77E5994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耗材</w:t>
            </w:r>
          </w:p>
        </w:tc>
        <w:tc>
          <w:tcPr>
            <w:tcW w:w="1836" w:type="pct"/>
            <w:tcBorders>
              <w:top w:val="single" w:color="auto" w:sz="4" w:space="0"/>
              <w:left w:val="single" w:color="auto" w:sz="4" w:space="0"/>
              <w:bottom w:val="single" w:color="auto" w:sz="4" w:space="0"/>
              <w:right w:val="single" w:color="auto" w:sz="4" w:space="0"/>
            </w:tcBorders>
            <w:shd w:val="clear" w:color="auto" w:fill="auto"/>
            <w:vAlign w:val="center"/>
          </w:tcPr>
          <w:p w14:paraId="43EC64F8">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包含：封堵材料、插座、网线、隔鼠板、尾纤、水晶头等</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74BE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1BD85">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A307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bl>
    <w:p w14:paraId="656C0B49">
      <w:pPr>
        <w:pStyle w:val="2"/>
        <w:jc w:val="both"/>
        <w:rPr>
          <w:rFonts w:hint="eastAsia"/>
          <w:highlight w:val="none"/>
        </w:rPr>
      </w:pPr>
    </w:p>
    <w:p w14:paraId="41D14889">
      <w:pPr>
        <w:rPr>
          <w:rFonts w:hint="eastAsia"/>
          <w:highlight w:val="none"/>
        </w:rPr>
      </w:pPr>
    </w:p>
    <w:p w14:paraId="2FB367B0">
      <w:pPr>
        <w:rPr>
          <w:rFonts w:hint="eastAsia"/>
          <w:highlight w:val="none"/>
        </w:rPr>
      </w:pPr>
    </w:p>
    <w:p w14:paraId="7E9F886E">
      <w:pPr>
        <w:pStyle w:val="2"/>
        <w:jc w:val="both"/>
        <w:rPr>
          <w:highlight w:val="none"/>
        </w:rPr>
      </w:pPr>
      <w:bookmarkStart w:id="46" w:name="_Toc24552"/>
      <w:bookmarkStart w:id="47" w:name="_Toc28737"/>
      <w:bookmarkStart w:id="48" w:name="_Toc27281"/>
      <w:bookmarkStart w:id="49" w:name="_Toc19943"/>
      <w:bookmarkStart w:id="50" w:name="_Toc7565"/>
      <w:r>
        <w:rPr>
          <w:rFonts w:hint="eastAsia"/>
          <w:highlight w:val="none"/>
        </w:rPr>
        <w:t>第三章 比选申请人须知</w:t>
      </w:r>
      <w:bookmarkEnd w:id="46"/>
      <w:bookmarkEnd w:id="47"/>
      <w:bookmarkEnd w:id="48"/>
      <w:bookmarkEnd w:id="49"/>
      <w:bookmarkEnd w:id="50"/>
    </w:p>
    <w:bookmarkEnd w:id="20"/>
    <w:bookmarkEnd w:id="21"/>
    <w:bookmarkEnd w:id="22"/>
    <w:bookmarkEnd w:id="23"/>
    <w:bookmarkEnd w:id="24"/>
    <w:bookmarkEnd w:id="25"/>
    <w:bookmarkEnd w:id="41"/>
    <w:bookmarkEnd w:id="42"/>
    <w:bookmarkEnd w:id="43"/>
    <w:bookmarkEnd w:id="44"/>
    <w:bookmarkEnd w:id="45"/>
    <w:p w14:paraId="4AABDF86">
      <w:pPr>
        <w:ind w:firstLine="0" w:firstLineChars="0"/>
        <w:rPr>
          <w:b/>
          <w:bCs/>
          <w:kern w:val="44"/>
          <w:sz w:val="36"/>
          <w:szCs w:val="44"/>
          <w:highlight w:val="none"/>
        </w:rPr>
      </w:pPr>
      <w:bookmarkStart w:id="51" w:name="_Toc184274915"/>
      <w:bookmarkStart w:id="52" w:name="_Toc184283909"/>
    </w:p>
    <w:p w14:paraId="1CC3EEA6">
      <w:pPr>
        <w:ind w:firstLine="480"/>
        <w:jc w:val="center"/>
        <w:rPr>
          <w:highlight w:val="none"/>
        </w:rPr>
      </w:pPr>
      <w:bookmarkStart w:id="53" w:name="_Toc213396946"/>
      <w:bookmarkStart w:id="54" w:name="_Toc3495"/>
      <w:bookmarkStart w:id="55" w:name="_Toc189727030"/>
      <w:bookmarkStart w:id="56" w:name="_Toc487650537"/>
      <w:bookmarkStart w:id="57" w:name="_Toc482004155"/>
      <w:bookmarkStart w:id="58" w:name="_Toc213496268"/>
      <w:bookmarkStart w:id="59" w:name="_Toc217446032"/>
      <w:bookmarkStart w:id="60" w:name="_Toc8754"/>
      <w:bookmarkStart w:id="61" w:name="_Toc213397010"/>
      <w:bookmarkStart w:id="62" w:name="_Toc22119"/>
      <w:bookmarkStart w:id="63" w:name="_Toc15358"/>
      <w:bookmarkStart w:id="64" w:name="_Toc213396760"/>
      <w:r>
        <w:rPr>
          <w:rFonts w:hint="eastAsia"/>
          <w:highlight w:val="none"/>
        </w:rPr>
        <w:t>比选申请人须知前附表</w:t>
      </w:r>
      <w:bookmarkEnd w:id="51"/>
      <w:bookmarkEnd w:id="52"/>
      <w:bookmarkEnd w:id="53"/>
      <w:bookmarkEnd w:id="54"/>
      <w:bookmarkEnd w:id="55"/>
      <w:bookmarkEnd w:id="56"/>
      <w:bookmarkEnd w:id="57"/>
      <w:bookmarkEnd w:id="58"/>
      <w:bookmarkEnd w:id="59"/>
      <w:bookmarkEnd w:id="60"/>
      <w:bookmarkEnd w:id="61"/>
      <w:bookmarkEnd w:id="62"/>
      <w:bookmarkEnd w:id="63"/>
      <w:bookmarkEnd w:id="64"/>
    </w:p>
    <w:tbl>
      <w:tblPr>
        <w:tblStyle w:val="43"/>
        <w:tblW w:w="8789" w:type="dxa"/>
        <w:tblInd w:w="-119"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51"/>
        <w:gridCol w:w="2131"/>
        <w:gridCol w:w="5807"/>
      </w:tblGrid>
      <w:tr w14:paraId="10085B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6" w:hRule="exact"/>
          <w:tblHeader/>
        </w:trPr>
        <w:tc>
          <w:tcPr>
            <w:tcW w:w="851" w:type="dxa"/>
            <w:vAlign w:val="center"/>
          </w:tcPr>
          <w:p w14:paraId="4512559F">
            <w:pPr>
              <w:pStyle w:val="132"/>
              <w:jc w:val="center"/>
              <w:rPr>
                <w:b/>
                <w:highlight w:val="none"/>
                <w:lang w:val="zh-CN"/>
              </w:rPr>
            </w:pPr>
            <w:r>
              <w:rPr>
                <w:rFonts w:hint="eastAsia"/>
                <w:b/>
                <w:highlight w:val="none"/>
                <w:lang w:val="zh-CN"/>
              </w:rPr>
              <w:t xml:space="preserve">序号 </w:t>
            </w:r>
          </w:p>
        </w:tc>
        <w:tc>
          <w:tcPr>
            <w:tcW w:w="2131" w:type="dxa"/>
            <w:vAlign w:val="center"/>
          </w:tcPr>
          <w:p w14:paraId="4DB61E54">
            <w:pPr>
              <w:pStyle w:val="132"/>
              <w:jc w:val="center"/>
              <w:rPr>
                <w:b/>
                <w:highlight w:val="none"/>
                <w:lang w:val="zh-CN"/>
              </w:rPr>
            </w:pPr>
            <w:r>
              <w:rPr>
                <w:rFonts w:hint="eastAsia"/>
                <w:b/>
                <w:highlight w:val="none"/>
                <w:lang w:val="zh-CN"/>
              </w:rPr>
              <w:t xml:space="preserve">条款名称 </w:t>
            </w:r>
          </w:p>
        </w:tc>
        <w:tc>
          <w:tcPr>
            <w:tcW w:w="5807" w:type="dxa"/>
            <w:vAlign w:val="center"/>
          </w:tcPr>
          <w:p w14:paraId="0435A4C6">
            <w:pPr>
              <w:pStyle w:val="132"/>
              <w:jc w:val="center"/>
              <w:rPr>
                <w:b/>
                <w:highlight w:val="none"/>
                <w:lang w:val="zh-CN"/>
              </w:rPr>
            </w:pPr>
            <w:r>
              <w:rPr>
                <w:rFonts w:hint="eastAsia"/>
                <w:b/>
                <w:highlight w:val="none"/>
                <w:lang w:val="zh-CN"/>
              </w:rPr>
              <w:t>说明和要求</w:t>
            </w:r>
          </w:p>
        </w:tc>
      </w:tr>
      <w:tr w14:paraId="6A4A51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4" w:hRule="atLeast"/>
        </w:trPr>
        <w:tc>
          <w:tcPr>
            <w:tcW w:w="851" w:type="dxa"/>
            <w:vAlign w:val="center"/>
          </w:tcPr>
          <w:p w14:paraId="06B720E4">
            <w:pPr>
              <w:pStyle w:val="132"/>
              <w:jc w:val="center"/>
              <w:rPr>
                <w:b/>
                <w:highlight w:val="none"/>
                <w:lang w:val="zh-CN"/>
              </w:rPr>
            </w:pPr>
            <w:r>
              <w:rPr>
                <w:rFonts w:hint="eastAsia"/>
                <w:b/>
                <w:highlight w:val="none"/>
              </w:rPr>
              <w:t>1</w:t>
            </w:r>
          </w:p>
        </w:tc>
        <w:tc>
          <w:tcPr>
            <w:tcW w:w="2131" w:type="dxa"/>
            <w:vAlign w:val="center"/>
          </w:tcPr>
          <w:p w14:paraId="2B41BD18">
            <w:pPr>
              <w:pStyle w:val="132"/>
              <w:jc w:val="center"/>
              <w:rPr>
                <w:b/>
                <w:highlight w:val="none"/>
                <w:lang w:val="zh-CN"/>
              </w:rPr>
            </w:pPr>
            <w:r>
              <w:rPr>
                <w:rFonts w:hint="eastAsia"/>
                <w:b/>
                <w:highlight w:val="none"/>
                <w:lang w:val="zh-CN"/>
              </w:rPr>
              <w:t>比选人</w:t>
            </w:r>
          </w:p>
        </w:tc>
        <w:tc>
          <w:tcPr>
            <w:tcW w:w="5807" w:type="dxa"/>
            <w:vAlign w:val="center"/>
          </w:tcPr>
          <w:p w14:paraId="6959D636">
            <w:pPr>
              <w:pStyle w:val="145"/>
              <w:spacing w:line="240" w:lineRule="auto"/>
              <w:ind w:firstLine="0" w:firstLineChars="0"/>
              <w:jc w:val="left"/>
              <w:rPr>
                <w:rFonts w:hAnsi="宋体"/>
                <w:highlight w:val="none"/>
              </w:rPr>
            </w:pPr>
            <w:r>
              <w:rPr>
                <w:rFonts w:hint="eastAsia" w:hAnsi="宋体" w:cs="宋体"/>
                <w:highlight w:val="none"/>
              </w:rPr>
              <w:t>名  称：</w:t>
            </w:r>
            <w:r>
              <w:rPr>
                <w:rFonts w:hint="eastAsia" w:hAnsi="宋体"/>
                <w:highlight w:val="none"/>
              </w:rPr>
              <w:t>四川都金山地轨道交通有限责任公司</w:t>
            </w:r>
          </w:p>
          <w:p w14:paraId="2D6B97D4">
            <w:pPr>
              <w:pStyle w:val="145"/>
              <w:spacing w:line="240" w:lineRule="auto"/>
              <w:ind w:firstLine="0" w:firstLineChars="0"/>
              <w:jc w:val="left"/>
              <w:rPr>
                <w:rFonts w:hAnsi="宋体" w:cs="宋体"/>
                <w:highlight w:val="none"/>
                <w:lang w:val="zh-CN"/>
              </w:rPr>
            </w:pPr>
            <w:r>
              <w:rPr>
                <w:rFonts w:hint="eastAsia" w:hAnsi="宋体" w:cs="宋体"/>
                <w:highlight w:val="none"/>
              </w:rPr>
              <w:t>地  址：</w:t>
            </w:r>
            <w:r>
              <w:rPr>
                <w:rFonts w:hint="eastAsia" w:asciiTheme="minorEastAsia" w:hAnsiTheme="minorEastAsia" w:eastAsiaTheme="minorEastAsia" w:cstheme="minorEastAsia"/>
                <w:highlight w:val="none"/>
              </w:rPr>
              <w:t>都江堰市观景路833号</w:t>
            </w:r>
          </w:p>
        </w:tc>
      </w:tr>
      <w:tr w14:paraId="471713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3" w:hRule="exact"/>
        </w:trPr>
        <w:tc>
          <w:tcPr>
            <w:tcW w:w="851" w:type="dxa"/>
            <w:vAlign w:val="center"/>
          </w:tcPr>
          <w:p w14:paraId="05B51EFB">
            <w:pPr>
              <w:pStyle w:val="132"/>
              <w:jc w:val="center"/>
              <w:rPr>
                <w:b/>
                <w:highlight w:val="none"/>
                <w:lang w:val="zh-CN"/>
              </w:rPr>
            </w:pPr>
            <w:r>
              <w:rPr>
                <w:rFonts w:hint="eastAsia"/>
                <w:b/>
                <w:highlight w:val="none"/>
              </w:rPr>
              <w:t>2</w:t>
            </w:r>
          </w:p>
        </w:tc>
        <w:tc>
          <w:tcPr>
            <w:tcW w:w="2131" w:type="dxa"/>
            <w:vAlign w:val="center"/>
          </w:tcPr>
          <w:p w14:paraId="3444E240">
            <w:pPr>
              <w:pStyle w:val="132"/>
              <w:jc w:val="center"/>
              <w:rPr>
                <w:b/>
                <w:highlight w:val="none"/>
                <w:lang w:val="zh-CN"/>
              </w:rPr>
            </w:pPr>
            <w:r>
              <w:rPr>
                <w:rFonts w:hint="eastAsia"/>
                <w:b/>
                <w:highlight w:val="none"/>
                <w:lang w:val="zh-CN"/>
              </w:rPr>
              <w:t>项目名称</w:t>
            </w:r>
          </w:p>
        </w:tc>
        <w:tc>
          <w:tcPr>
            <w:tcW w:w="5807" w:type="dxa"/>
            <w:vAlign w:val="center"/>
          </w:tcPr>
          <w:p w14:paraId="5998D14D">
            <w:pPr>
              <w:pStyle w:val="132"/>
              <w:jc w:val="both"/>
              <w:rPr>
                <w:rFonts w:asciiTheme="minorEastAsia" w:hAnsiTheme="minorEastAsia" w:eastAsiaTheme="minorEastAsia" w:cstheme="minorEastAsia"/>
                <w:szCs w:val="20"/>
                <w:highlight w:val="none"/>
              </w:rPr>
            </w:pPr>
            <w:r>
              <w:rPr>
                <w:rFonts w:hint="eastAsia" w:asciiTheme="minorEastAsia" w:hAnsiTheme="minorEastAsia" w:eastAsiaTheme="minorEastAsia" w:cstheme="minorEastAsia"/>
                <w:sz w:val="24"/>
                <w:szCs w:val="20"/>
                <w:highlight w:val="none"/>
                <w:lang w:val="en-US" w:eastAsia="zh-CN"/>
              </w:rPr>
              <w:t>都四项目办公网络加固项目</w:t>
            </w:r>
          </w:p>
        </w:tc>
      </w:tr>
      <w:tr w14:paraId="2725D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4" w:hRule="exact"/>
        </w:trPr>
        <w:tc>
          <w:tcPr>
            <w:tcW w:w="851" w:type="dxa"/>
            <w:vAlign w:val="center"/>
          </w:tcPr>
          <w:p w14:paraId="69D7B129">
            <w:pPr>
              <w:pStyle w:val="132"/>
              <w:jc w:val="center"/>
              <w:rPr>
                <w:b/>
                <w:highlight w:val="none"/>
                <w:lang w:val="zh-CN"/>
              </w:rPr>
            </w:pPr>
            <w:r>
              <w:rPr>
                <w:rFonts w:hint="eastAsia"/>
                <w:b/>
                <w:highlight w:val="none"/>
              </w:rPr>
              <w:t>3</w:t>
            </w:r>
          </w:p>
        </w:tc>
        <w:tc>
          <w:tcPr>
            <w:tcW w:w="2131" w:type="dxa"/>
            <w:vAlign w:val="center"/>
          </w:tcPr>
          <w:p w14:paraId="5C535F22">
            <w:pPr>
              <w:pStyle w:val="132"/>
              <w:rPr>
                <w:b/>
                <w:highlight w:val="none"/>
                <w:lang w:val="zh-CN"/>
              </w:rPr>
            </w:pPr>
            <w:r>
              <w:rPr>
                <w:rFonts w:hint="eastAsia"/>
                <w:b/>
                <w:highlight w:val="none"/>
                <w:lang w:val="zh-CN"/>
              </w:rPr>
              <w:t xml:space="preserve">     地点</w:t>
            </w:r>
          </w:p>
        </w:tc>
        <w:tc>
          <w:tcPr>
            <w:tcW w:w="5807" w:type="dxa"/>
            <w:vAlign w:val="center"/>
          </w:tcPr>
          <w:p w14:paraId="2F2A15B7">
            <w:pPr>
              <w:spacing w:line="240" w:lineRule="auto"/>
              <w:ind w:firstLine="0" w:firstLineChars="0"/>
              <w:jc w:val="left"/>
              <w:rPr>
                <w:rFonts w:hAnsi="宋体" w:cs="宋体"/>
                <w:highlight w:val="none"/>
              </w:rPr>
            </w:pPr>
            <w:r>
              <w:rPr>
                <w:rFonts w:hint="eastAsia" w:asciiTheme="minorEastAsia" w:hAnsiTheme="minorEastAsia" w:eastAsiaTheme="minorEastAsia" w:cstheme="minorEastAsia"/>
                <w:highlight w:val="none"/>
              </w:rPr>
              <w:t>都江堰市观景路833号</w:t>
            </w:r>
          </w:p>
        </w:tc>
      </w:tr>
      <w:tr w14:paraId="5C8AD3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2" w:hRule="exact"/>
        </w:trPr>
        <w:tc>
          <w:tcPr>
            <w:tcW w:w="851" w:type="dxa"/>
            <w:vAlign w:val="center"/>
          </w:tcPr>
          <w:p w14:paraId="6A37BF16">
            <w:pPr>
              <w:pStyle w:val="132"/>
              <w:jc w:val="center"/>
              <w:rPr>
                <w:b/>
                <w:highlight w:val="none"/>
              </w:rPr>
            </w:pPr>
            <w:r>
              <w:rPr>
                <w:rFonts w:hint="eastAsia"/>
                <w:b/>
                <w:highlight w:val="none"/>
              </w:rPr>
              <w:t>4</w:t>
            </w:r>
          </w:p>
        </w:tc>
        <w:tc>
          <w:tcPr>
            <w:tcW w:w="2131" w:type="dxa"/>
            <w:vAlign w:val="center"/>
          </w:tcPr>
          <w:p w14:paraId="7109A187">
            <w:pPr>
              <w:pStyle w:val="132"/>
              <w:jc w:val="center"/>
              <w:rPr>
                <w:b/>
                <w:highlight w:val="none"/>
                <w:lang w:val="zh-CN"/>
              </w:rPr>
            </w:pPr>
            <w:r>
              <w:rPr>
                <w:rFonts w:hint="eastAsia"/>
                <w:b/>
                <w:highlight w:val="none"/>
                <w:lang w:val="zh-CN"/>
              </w:rPr>
              <w:t>比选限价</w:t>
            </w:r>
          </w:p>
        </w:tc>
        <w:tc>
          <w:tcPr>
            <w:tcW w:w="5807" w:type="dxa"/>
            <w:vAlign w:val="center"/>
          </w:tcPr>
          <w:p w14:paraId="247FE661">
            <w:pPr>
              <w:spacing w:line="240" w:lineRule="auto"/>
              <w:ind w:firstLine="0" w:firstLineChars="0"/>
              <w:jc w:val="left"/>
              <w:rPr>
                <w:rFonts w:hAnsi="宋体" w:cs="宋体"/>
                <w:highlight w:val="none"/>
              </w:rPr>
            </w:pPr>
            <w:r>
              <w:rPr>
                <w:rFonts w:hint="eastAsia" w:hAnsi="宋体" w:cs="宋体"/>
                <w:highlight w:val="none"/>
              </w:rPr>
              <w:t>人民币</w:t>
            </w:r>
            <w:r>
              <w:rPr>
                <w:rFonts w:hint="eastAsia" w:hAnsi="宋体" w:cs="宋体"/>
                <w:highlight w:val="none"/>
                <w:lang w:val="en-US" w:eastAsia="zh-CN"/>
              </w:rPr>
              <w:t>36</w:t>
            </w:r>
            <w:r>
              <w:rPr>
                <w:rFonts w:hint="eastAsia" w:hAnsi="宋体" w:cs="宋体"/>
                <w:highlight w:val="none"/>
              </w:rPr>
              <w:t>万元（大写</w:t>
            </w:r>
            <w:r>
              <w:rPr>
                <w:rFonts w:hint="eastAsia" w:hAnsi="宋体" w:cs="宋体"/>
                <w:highlight w:val="none"/>
                <w:lang w:val="en-US" w:eastAsia="zh-CN"/>
              </w:rPr>
              <w:t>叁</w:t>
            </w:r>
            <w:r>
              <w:rPr>
                <w:rFonts w:hint="eastAsia" w:hAnsi="宋体" w:cs="宋体"/>
                <w:highlight w:val="none"/>
              </w:rPr>
              <w:t>拾</w:t>
            </w:r>
            <w:r>
              <w:rPr>
                <w:rFonts w:hint="eastAsia" w:hAnsi="宋体" w:cs="宋体"/>
                <w:highlight w:val="none"/>
                <w:lang w:val="en-US" w:eastAsia="zh-CN"/>
              </w:rPr>
              <w:t>陆</w:t>
            </w:r>
            <w:r>
              <w:rPr>
                <w:rFonts w:hint="eastAsia" w:hAnsi="宋体" w:cs="宋体"/>
                <w:highlight w:val="none"/>
              </w:rPr>
              <w:t>万元整）。</w:t>
            </w:r>
          </w:p>
          <w:p w14:paraId="020C0CC4">
            <w:pPr>
              <w:spacing w:line="240" w:lineRule="auto"/>
              <w:ind w:firstLine="0" w:firstLineChars="0"/>
              <w:jc w:val="left"/>
              <w:rPr>
                <w:rFonts w:hAnsi="宋体" w:cs="宋体"/>
                <w:highlight w:val="none"/>
              </w:rPr>
            </w:pPr>
            <w:r>
              <w:rPr>
                <w:rFonts w:hint="eastAsia" w:hAnsi="宋体" w:cs="宋体"/>
                <w:highlight w:val="none"/>
              </w:rPr>
              <w:t>比选申请人的比选申请价超出比选限价的，将按无效比选申请处理。</w:t>
            </w:r>
          </w:p>
        </w:tc>
      </w:tr>
      <w:tr w14:paraId="16606E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exact"/>
        </w:trPr>
        <w:tc>
          <w:tcPr>
            <w:tcW w:w="851" w:type="dxa"/>
            <w:vAlign w:val="center"/>
          </w:tcPr>
          <w:p w14:paraId="589C7A7E">
            <w:pPr>
              <w:pStyle w:val="132"/>
              <w:jc w:val="center"/>
              <w:rPr>
                <w:b/>
                <w:highlight w:val="none"/>
                <w:lang w:val="zh-CN"/>
              </w:rPr>
            </w:pPr>
            <w:r>
              <w:rPr>
                <w:rFonts w:hint="eastAsia"/>
                <w:b/>
                <w:highlight w:val="none"/>
              </w:rPr>
              <w:t>5</w:t>
            </w:r>
          </w:p>
        </w:tc>
        <w:tc>
          <w:tcPr>
            <w:tcW w:w="2131" w:type="dxa"/>
            <w:vAlign w:val="center"/>
          </w:tcPr>
          <w:p w14:paraId="77A65A7D">
            <w:pPr>
              <w:pStyle w:val="132"/>
              <w:jc w:val="center"/>
              <w:rPr>
                <w:b/>
                <w:highlight w:val="none"/>
                <w:lang w:val="zh-CN"/>
              </w:rPr>
            </w:pPr>
            <w:r>
              <w:rPr>
                <w:rFonts w:hint="eastAsia"/>
                <w:b/>
                <w:highlight w:val="none"/>
                <w:lang w:val="zh-CN"/>
              </w:rPr>
              <w:t>资金来源</w:t>
            </w:r>
          </w:p>
        </w:tc>
        <w:tc>
          <w:tcPr>
            <w:tcW w:w="5807" w:type="dxa"/>
            <w:vAlign w:val="center"/>
          </w:tcPr>
          <w:p w14:paraId="2EAB173C">
            <w:pPr>
              <w:pStyle w:val="132"/>
              <w:jc w:val="both"/>
              <w:rPr>
                <w:highlight w:val="none"/>
                <w:lang w:val="zh-CN"/>
              </w:rPr>
            </w:pPr>
            <w:r>
              <w:rPr>
                <w:rFonts w:hint="eastAsia"/>
                <w:highlight w:val="none"/>
                <w:lang w:val="zh-CN"/>
              </w:rPr>
              <w:t>自筹资金</w:t>
            </w:r>
          </w:p>
        </w:tc>
      </w:tr>
      <w:tr w14:paraId="6DD43D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rPr>
        <w:tc>
          <w:tcPr>
            <w:tcW w:w="851" w:type="dxa"/>
            <w:vAlign w:val="center"/>
          </w:tcPr>
          <w:p w14:paraId="668F950F">
            <w:pPr>
              <w:pStyle w:val="132"/>
              <w:jc w:val="center"/>
              <w:rPr>
                <w:b/>
                <w:highlight w:val="none"/>
                <w:lang w:val="zh-CN"/>
              </w:rPr>
            </w:pPr>
            <w:r>
              <w:rPr>
                <w:rFonts w:hint="eastAsia"/>
                <w:b/>
                <w:highlight w:val="none"/>
              </w:rPr>
              <w:t>6</w:t>
            </w:r>
          </w:p>
        </w:tc>
        <w:tc>
          <w:tcPr>
            <w:tcW w:w="2131" w:type="dxa"/>
            <w:vAlign w:val="center"/>
          </w:tcPr>
          <w:p w14:paraId="612EEAD7">
            <w:pPr>
              <w:pStyle w:val="132"/>
              <w:rPr>
                <w:b/>
                <w:highlight w:val="none"/>
                <w:lang w:val="zh-CN"/>
              </w:rPr>
            </w:pPr>
            <w:r>
              <w:rPr>
                <w:rFonts w:hint="eastAsia"/>
                <w:b/>
                <w:highlight w:val="none"/>
                <w:lang w:val="zh-CN"/>
              </w:rPr>
              <w:t xml:space="preserve">   资金落实情况</w:t>
            </w:r>
          </w:p>
        </w:tc>
        <w:tc>
          <w:tcPr>
            <w:tcW w:w="5807" w:type="dxa"/>
            <w:vAlign w:val="center"/>
          </w:tcPr>
          <w:p w14:paraId="310C2EBD">
            <w:pPr>
              <w:pStyle w:val="132"/>
              <w:jc w:val="both"/>
              <w:rPr>
                <w:highlight w:val="none"/>
                <w:lang w:val="zh-CN"/>
              </w:rPr>
            </w:pPr>
            <w:r>
              <w:rPr>
                <w:rFonts w:hint="eastAsia"/>
                <w:highlight w:val="none"/>
                <w:lang w:val="zh-CN"/>
              </w:rPr>
              <w:t>已落实</w:t>
            </w:r>
          </w:p>
        </w:tc>
      </w:tr>
      <w:tr w14:paraId="1BD11C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atLeast"/>
        </w:trPr>
        <w:tc>
          <w:tcPr>
            <w:tcW w:w="851" w:type="dxa"/>
            <w:vAlign w:val="center"/>
          </w:tcPr>
          <w:p w14:paraId="2C124EA9">
            <w:pPr>
              <w:pStyle w:val="132"/>
              <w:jc w:val="center"/>
              <w:rPr>
                <w:b/>
                <w:highlight w:val="none"/>
                <w:lang w:val="zh-CN"/>
              </w:rPr>
            </w:pPr>
            <w:r>
              <w:rPr>
                <w:rFonts w:hint="eastAsia"/>
                <w:b/>
                <w:highlight w:val="none"/>
              </w:rPr>
              <w:t>7</w:t>
            </w:r>
          </w:p>
        </w:tc>
        <w:tc>
          <w:tcPr>
            <w:tcW w:w="2131" w:type="dxa"/>
            <w:vAlign w:val="center"/>
          </w:tcPr>
          <w:p w14:paraId="4E3F5037">
            <w:pPr>
              <w:pStyle w:val="132"/>
              <w:jc w:val="center"/>
              <w:rPr>
                <w:b/>
                <w:highlight w:val="none"/>
                <w:lang w:val="zh-CN"/>
              </w:rPr>
            </w:pPr>
            <w:r>
              <w:rPr>
                <w:rFonts w:hint="eastAsia"/>
                <w:b/>
                <w:highlight w:val="none"/>
                <w:lang w:val="zh-CN"/>
              </w:rPr>
              <w:t>考察现场、标前</w:t>
            </w:r>
          </w:p>
          <w:p w14:paraId="5101E44E">
            <w:pPr>
              <w:pStyle w:val="132"/>
              <w:jc w:val="center"/>
              <w:rPr>
                <w:b/>
                <w:highlight w:val="none"/>
                <w:lang w:val="zh-CN"/>
              </w:rPr>
            </w:pPr>
            <w:r>
              <w:rPr>
                <w:rFonts w:hint="eastAsia"/>
                <w:b/>
                <w:highlight w:val="none"/>
                <w:lang w:val="zh-CN"/>
              </w:rPr>
              <w:t>答疑会</w:t>
            </w:r>
          </w:p>
        </w:tc>
        <w:tc>
          <w:tcPr>
            <w:tcW w:w="5807" w:type="dxa"/>
            <w:vAlign w:val="center"/>
          </w:tcPr>
          <w:p w14:paraId="2CF27173">
            <w:pPr>
              <w:pStyle w:val="132"/>
              <w:rPr>
                <w:highlight w:val="none"/>
                <w:lang w:val="zh-CN"/>
              </w:rPr>
            </w:pPr>
            <w:r>
              <w:rPr>
                <w:rFonts w:hint="eastAsia"/>
                <w:highlight w:val="none"/>
                <w:lang w:val="zh-CN"/>
              </w:rPr>
              <w:t>不组织</w:t>
            </w:r>
          </w:p>
        </w:tc>
      </w:tr>
      <w:tr w14:paraId="68CDB3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4" w:hRule="atLeast"/>
        </w:trPr>
        <w:tc>
          <w:tcPr>
            <w:tcW w:w="851" w:type="dxa"/>
            <w:vAlign w:val="center"/>
          </w:tcPr>
          <w:p w14:paraId="482FCEB7">
            <w:pPr>
              <w:pStyle w:val="132"/>
              <w:jc w:val="center"/>
              <w:rPr>
                <w:b/>
                <w:highlight w:val="none"/>
                <w:lang w:val="zh-CN"/>
              </w:rPr>
            </w:pPr>
            <w:r>
              <w:rPr>
                <w:rFonts w:hint="eastAsia"/>
                <w:b/>
                <w:highlight w:val="none"/>
              </w:rPr>
              <w:t>8</w:t>
            </w:r>
          </w:p>
        </w:tc>
        <w:tc>
          <w:tcPr>
            <w:tcW w:w="2131" w:type="dxa"/>
            <w:vAlign w:val="center"/>
          </w:tcPr>
          <w:p w14:paraId="49CC2A23">
            <w:pPr>
              <w:pStyle w:val="132"/>
              <w:jc w:val="center"/>
              <w:rPr>
                <w:b/>
                <w:highlight w:val="none"/>
                <w:lang w:val="zh-CN"/>
              </w:rPr>
            </w:pPr>
            <w:r>
              <w:rPr>
                <w:rFonts w:hint="eastAsia"/>
                <w:b/>
                <w:highlight w:val="none"/>
                <w:lang w:val="zh-CN"/>
              </w:rPr>
              <w:t>比选申请人对比选文件</w:t>
            </w:r>
          </w:p>
          <w:p w14:paraId="5A55ADA8">
            <w:pPr>
              <w:pStyle w:val="132"/>
              <w:jc w:val="center"/>
              <w:rPr>
                <w:b/>
                <w:highlight w:val="none"/>
                <w:lang w:val="zh-CN"/>
              </w:rPr>
            </w:pPr>
            <w:r>
              <w:rPr>
                <w:rFonts w:hint="eastAsia"/>
                <w:b/>
                <w:highlight w:val="none"/>
                <w:lang w:val="zh-CN"/>
              </w:rPr>
              <w:t>提出问题的时间</w:t>
            </w:r>
          </w:p>
        </w:tc>
        <w:tc>
          <w:tcPr>
            <w:tcW w:w="5807" w:type="dxa"/>
            <w:vAlign w:val="center"/>
          </w:tcPr>
          <w:p w14:paraId="62229664">
            <w:pPr>
              <w:pStyle w:val="132"/>
              <w:rPr>
                <w:highlight w:val="none"/>
                <w:lang w:val="zh-CN"/>
              </w:rPr>
            </w:pPr>
            <w:r>
              <w:rPr>
                <w:rFonts w:hint="eastAsia"/>
                <w:highlight w:val="none"/>
                <w:lang w:val="zh-CN"/>
              </w:rPr>
              <w:t>递交比选申请文件截止之日</w:t>
            </w:r>
            <w:r>
              <w:rPr>
                <w:rFonts w:hint="eastAsia"/>
                <w:highlight w:val="none"/>
                <w:lang w:val="en-US" w:eastAsia="zh-CN"/>
              </w:rPr>
              <w:t>5</w:t>
            </w:r>
            <w:r>
              <w:rPr>
                <w:rFonts w:hint="eastAsia"/>
                <w:highlight w:val="none"/>
                <w:lang w:val="zh-CN"/>
              </w:rPr>
              <w:t>天（含）前</w:t>
            </w:r>
            <w:r>
              <w:rPr>
                <w:rFonts w:hint="eastAsia"/>
                <w:highlight w:val="none"/>
              </w:rPr>
              <w:t>提出书面质疑并送达比选文件获取处</w:t>
            </w:r>
          </w:p>
        </w:tc>
      </w:tr>
      <w:tr w14:paraId="48CBF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5" w:hRule="atLeast"/>
        </w:trPr>
        <w:tc>
          <w:tcPr>
            <w:tcW w:w="851" w:type="dxa"/>
            <w:vAlign w:val="center"/>
          </w:tcPr>
          <w:p w14:paraId="42B3B6D8">
            <w:pPr>
              <w:pStyle w:val="132"/>
              <w:jc w:val="center"/>
              <w:rPr>
                <w:b/>
                <w:highlight w:val="none"/>
              </w:rPr>
            </w:pPr>
            <w:r>
              <w:rPr>
                <w:rFonts w:hint="eastAsia"/>
                <w:b/>
                <w:highlight w:val="none"/>
              </w:rPr>
              <w:t>9</w:t>
            </w:r>
          </w:p>
        </w:tc>
        <w:tc>
          <w:tcPr>
            <w:tcW w:w="2131" w:type="dxa"/>
            <w:vAlign w:val="center"/>
          </w:tcPr>
          <w:p w14:paraId="669F475A">
            <w:pPr>
              <w:pStyle w:val="132"/>
              <w:jc w:val="center"/>
              <w:rPr>
                <w:b/>
                <w:highlight w:val="none"/>
                <w:lang w:val="zh-CN"/>
              </w:rPr>
            </w:pPr>
            <w:r>
              <w:rPr>
                <w:rFonts w:hint="eastAsia"/>
                <w:b/>
                <w:highlight w:val="none"/>
                <w:lang w:val="zh-CN"/>
              </w:rPr>
              <w:t>比选申请人资格</w:t>
            </w:r>
          </w:p>
        </w:tc>
        <w:tc>
          <w:tcPr>
            <w:tcW w:w="5807" w:type="dxa"/>
            <w:vAlign w:val="center"/>
          </w:tcPr>
          <w:p w14:paraId="4AD96DFD">
            <w:pPr>
              <w:pStyle w:val="42"/>
              <w:spacing w:line="300" w:lineRule="exact"/>
              <w:ind w:firstLine="480"/>
              <w:rPr>
                <w:rFonts w:ascii="Times New Roman" w:hAnsi="Times New Roman"/>
                <w:sz w:val="24"/>
                <w:highlight w:val="none"/>
              </w:rPr>
            </w:pPr>
            <w:r>
              <w:rPr>
                <w:rFonts w:hint="eastAsia" w:ascii="Times New Roman" w:hAnsi="Times New Roman"/>
                <w:sz w:val="24"/>
                <w:highlight w:val="none"/>
              </w:rPr>
              <w:t>1、须具有独立法人资格，并持有工商行政主管部门核发的有效企业法人营业执照或事业单位法人证书；</w:t>
            </w:r>
          </w:p>
          <w:p w14:paraId="4A97DF0E">
            <w:pPr>
              <w:pStyle w:val="42"/>
              <w:spacing w:line="300" w:lineRule="exact"/>
              <w:ind w:firstLine="480"/>
              <w:rPr>
                <w:rFonts w:hint="eastAsia" w:ascii="Times New Roman" w:hAnsi="Times New Roman"/>
                <w:sz w:val="24"/>
                <w:highlight w:val="none"/>
              </w:rPr>
            </w:pPr>
            <w:r>
              <w:rPr>
                <w:rFonts w:hint="eastAsia" w:ascii="Times New Roman" w:hAnsi="Times New Roman"/>
                <w:sz w:val="24"/>
                <w:highlight w:val="none"/>
              </w:rPr>
              <w:t>2、须具备中国网络安全审查技术与认证中心（CCRC，原中国信息安全认证中心）颁发的《信息安全服务资质认证证书（信息安全风险评估三级服务资质）》及以上证书；核心设备须提供设备生产厂商针对本项目的授权函；</w:t>
            </w:r>
          </w:p>
          <w:p w14:paraId="4609A6A2">
            <w:pPr>
              <w:pStyle w:val="42"/>
              <w:spacing w:line="300" w:lineRule="exact"/>
              <w:ind w:firstLine="480"/>
              <w:rPr>
                <w:rFonts w:hint="eastAsia" w:ascii="Times New Roman" w:hAnsi="Times New Roman"/>
                <w:sz w:val="24"/>
                <w:highlight w:val="none"/>
              </w:rPr>
            </w:pPr>
            <w:r>
              <w:rPr>
                <w:rFonts w:hint="eastAsia" w:ascii="Times New Roman" w:hAnsi="Times New Roman"/>
                <w:sz w:val="24"/>
                <w:highlight w:val="none"/>
              </w:rPr>
              <w:t>3、自 2021年 1月 1日起至今（以合同签订时间为准）至少独立承担过 1个网络安全服务工作（工作内容包含网络安全风险评估）。</w:t>
            </w:r>
          </w:p>
          <w:p w14:paraId="5F64ABFD">
            <w:pPr>
              <w:pStyle w:val="42"/>
              <w:spacing w:line="300" w:lineRule="exact"/>
              <w:ind w:firstLine="480"/>
              <w:rPr>
                <w:rFonts w:hint="eastAsia" w:ascii="Times New Roman" w:hAnsi="Times New Roman"/>
                <w:sz w:val="24"/>
                <w:highlight w:val="none"/>
              </w:rPr>
            </w:pPr>
            <w:r>
              <w:rPr>
                <w:rFonts w:hint="eastAsia" w:ascii="Times New Roman" w:hAnsi="Times New Roman"/>
                <w:sz w:val="24"/>
                <w:highlight w:val="none"/>
              </w:rPr>
              <w:t>4、项目负责人通过注册信息安全专业人员（CISP）认证；</w:t>
            </w:r>
          </w:p>
          <w:p w14:paraId="618CBA0D">
            <w:pPr>
              <w:pStyle w:val="42"/>
              <w:spacing w:line="300" w:lineRule="exact"/>
              <w:ind w:firstLine="480"/>
              <w:rPr>
                <w:rFonts w:ascii="Times New Roman" w:hAnsi="Times New Roman"/>
                <w:sz w:val="24"/>
                <w:highlight w:val="none"/>
              </w:rPr>
            </w:pPr>
            <w:r>
              <w:rPr>
                <w:rFonts w:hint="eastAsia" w:ascii="Times New Roman" w:hAnsi="Times New Roman"/>
                <w:sz w:val="24"/>
                <w:highlight w:val="none"/>
              </w:rPr>
              <w:t>5、</w:t>
            </w:r>
            <w:r>
              <w:rPr>
                <w:rFonts w:hint="eastAsia" w:ascii="Times New Roman" w:hAnsi="Times New Roman"/>
                <w:sz w:val="24"/>
                <w:highlight w:val="none"/>
                <w:lang w:val="zh-CN"/>
              </w:rPr>
              <w:t>本项目不接受联合体比选申请申请，</w:t>
            </w:r>
            <w:r>
              <w:rPr>
                <w:rFonts w:hint="eastAsia" w:eastAsiaTheme="minorEastAsia"/>
                <w:sz w:val="24"/>
                <w:szCs w:val="24"/>
                <w:highlight w:val="none"/>
                <w:lang w:val="zh-CN"/>
              </w:rPr>
              <w:t>严禁转包和分包</w:t>
            </w:r>
            <w:r>
              <w:rPr>
                <w:rFonts w:hint="eastAsia" w:hAnsi="宋体" w:cs="宋体"/>
                <w:sz w:val="24"/>
                <w:szCs w:val="24"/>
                <w:highlight w:val="none"/>
              </w:rPr>
              <w:t>。</w:t>
            </w:r>
          </w:p>
          <w:p w14:paraId="3AEC4718">
            <w:pPr>
              <w:pStyle w:val="42"/>
              <w:spacing w:line="300" w:lineRule="exact"/>
              <w:ind w:firstLine="480"/>
              <w:rPr>
                <w:rFonts w:ascii="Times New Roman" w:hAnsi="Times New Roman"/>
                <w:sz w:val="24"/>
                <w:highlight w:val="none"/>
              </w:rPr>
            </w:pPr>
            <w:r>
              <w:rPr>
                <w:rFonts w:hint="eastAsia" w:ascii="Times New Roman" w:hAnsi="Times New Roman"/>
                <w:sz w:val="24"/>
                <w:highlight w:val="none"/>
              </w:rPr>
              <w:t>6、提供依法缴纳税收和社会保障资金的良好记录（2024年3月-5月）。</w:t>
            </w:r>
          </w:p>
          <w:p w14:paraId="32BC2594">
            <w:pPr>
              <w:pStyle w:val="42"/>
              <w:spacing w:line="300" w:lineRule="exact"/>
              <w:ind w:firstLine="480"/>
              <w:rPr>
                <w:rFonts w:ascii="Times New Roman" w:hAnsi="Times New Roman"/>
                <w:sz w:val="24"/>
                <w:highlight w:val="none"/>
              </w:rPr>
            </w:pPr>
            <w:r>
              <w:rPr>
                <w:rFonts w:hint="eastAsia" w:ascii="Times New Roman" w:hAnsi="Times New Roman"/>
                <w:sz w:val="24"/>
                <w:highlight w:val="none"/>
              </w:rPr>
              <w:t>7、参加比选活动前三年内，在经营活动中没有重大违法记录。</w:t>
            </w:r>
          </w:p>
          <w:p w14:paraId="5DB96F32">
            <w:pPr>
              <w:pStyle w:val="42"/>
              <w:spacing w:line="300" w:lineRule="exact"/>
              <w:ind w:firstLine="480"/>
              <w:rPr>
                <w:rFonts w:ascii="Times New Roman" w:hAnsi="Times New Roman"/>
                <w:sz w:val="24"/>
                <w:highlight w:val="none"/>
              </w:rPr>
            </w:pPr>
            <w:r>
              <w:rPr>
                <w:rFonts w:hint="eastAsia" w:ascii="Times New Roman" w:hAnsi="Times New Roman"/>
                <w:sz w:val="24"/>
                <w:highlight w:val="none"/>
              </w:rPr>
              <w:t>8、在“信用中国”网站中被列入失信执行人名单的比选申请人，其比选申请无效。</w:t>
            </w:r>
          </w:p>
          <w:p w14:paraId="2B9D26C5">
            <w:pPr>
              <w:pStyle w:val="42"/>
              <w:spacing w:line="300" w:lineRule="exact"/>
              <w:ind w:firstLine="480"/>
              <w:rPr>
                <w:rFonts w:eastAsiaTheme="minorEastAsia"/>
                <w:sz w:val="24"/>
                <w:szCs w:val="24"/>
                <w:highlight w:val="none"/>
              </w:rPr>
            </w:pPr>
            <w:r>
              <w:rPr>
                <w:rFonts w:hint="eastAsia" w:ascii="Times New Roman" w:hAnsi="Times New Roman"/>
                <w:sz w:val="24"/>
                <w:highlight w:val="none"/>
              </w:rPr>
              <w:t>9、在国家企业信用信息公示系统中未被列入严重违法失信企业名单。</w:t>
            </w:r>
          </w:p>
        </w:tc>
      </w:tr>
      <w:tr w14:paraId="24AED9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8" w:hRule="atLeast"/>
        </w:trPr>
        <w:tc>
          <w:tcPr>
            <w:tcW w:w="851" w:type="dxa"/>
            <w:vAlign w:val="center"/>
          </w:tcPr>
          <w:p w14:paraId="0BDE145D">
            <w:pPr>
              <w:pStyle w:val="132"/>
              <w:jc w:val="center"/>
              <w:rPr>
                <w:b/>
                <w:highlight w:val="none"/>
                <w:lang w:val="zh-CN"/>
              </w:rPr>
            </w:pPr>
            <w:r>
              <w:rPr>
                <w:rFonts w:hint="eastAsia"/>
                <w:b/>
                <w:highlight w:val="none"/>
              </w:rPr>
              <w:t>10</w:t>
            </w:r>
          </w:p>
        </w:tc>
        <w:tc>
          <w:tcPr>
            <w:tcW w:w="2131" w:type="dxa"/>
            <w:vAlign w:val="center"/>
          </w:tcPr>
          <w:p w14:paraId="101627A0">
            <w:pPr>
              <w:pStyle w:val="132"/>
              <w:jc w:val="center"/>
              <w:rPr>
                <w:b/>
                <w:highlight w:val="none"/>
                <w:lang w:val="zh-CN"/>
              </w:rPr>
            </w:pPr>
            <w:r>
              <w:rPr>
                <w:rFonts w:hint="eastAsia"/>
                <w:b/>
                <w:highlight w:val="none"/>
                <w:lang w:val="zh-CN"/>
              </w:rPr>
              <w:t>分包履约</w:t>
            </w:r>
          </w:p>
        </w:tc>
        <w:tc>
          <w:tcPr>
            <w:tcW w:w="5807" w:type="dxa"/>
            <w:vAlign w:val="center"/>
          </w:tcPr>
          <w:p w14:paraId="491CF651">
            <w:pPr>
              <w:pStyle w:val="132"/>
              <w:rPr>
                <w:highlight w:val="none"/>
              </w:rPr>
            </w:pPr>
            <w:r>
              <w:rPr>
                <w:rFonts w:hint="eastAsia"/>
                <w:highlight w:val="none"/>
                <w:lang w:val="zh-CN"/>
              </w:rPr>
              <w:t>不分包</w:t>
            </w:r>
            <w:r>
              <w:rPr>
                <w:rFonts w:hint="eastAsia"/>
                <w:highlight w:val="none"/>
              </w:rPr>
              <w:t>。</w:t>
            </w:r>
          </w:p>
        </w:tc>
      </w:tr>
      <w:tr w14:paraId="38FEBD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6" w:hRule="exact"/>
        </w:trPr>
        <w:tc>
          <w:tcPr>
            <w:tcW w:w="851" w:type="dxa"/>
            <w:vAlign w:val="center"/>
          </w:tcPr>
          <w:p w14:paraId="62602024">
            <w:pPr>
              <w:pStyle w:val="132"/>
              <w:jc w:val="center"/>
              <w:rPr>
                <w:b/>
                <w:highlight w:val="none"/>
                <w:lang w:val="zh-CN"/>
              </w:rPr>
            </w:pPr>
            <w:r>
              <w:rPr>
                <w:rFonts w:hint="eastAsia"/>
                <w:b/>
                <w:highlight w:val="none"/>
              </w:rPr>
              <w:t>11</w:t>
            </w:r>
          </w:p>
        </w:tc>
        <w:tc>
          <w:tcPr>
            <w:tcW w:w="2131" w:type="dxa"/>
            <w:vAlign w:val="center"/>
          </w:tcPr>
          <w:p w14:paraId="2F13CE1E">
            <w:pPr>
              <w:pStyle w:val="132"/>
              <w:jc w:val="center"/>
              <w:rPr>
                <w:b/>
                <w:highlight w:val="none"/>
                <w:lang w:val="zh-CN"/>
              </w:rPr>
            </w:pPr>
            <w:r>
              <w:rPr>
                <w:rFonts w:hint="eastAsia"/>
                <w:b/>
                <w:highlight w:val="none"/>
                <w:lang w:val="zh-CN"/>
              </w:rPr>
              <w:t>构成比选文件的其他文件</w:t>
            </w:r>
          </w:p>
        </w:tc>
        <w:tc>
          <w:tcPr>
            <w:tcW w:w="5807" w:type="dxa"/>
            <w:vAlign w:val="center"/>
          </w:tcPr>
          <w:p w14:paraId="04669943">
            <w:pPr>
              <w:pStyle w:val="132"/>
              <w:rPr>
                <w:highlight w:val="none"/>
                <w:lang w:val="zh-CN"/>
              </w:rPr>
            </w:pPr>
            <w:r>
              <w:rPr>
                <w:rFonts w:hint="eastAsia"/>
                <w:highlight w:val="none"/>
                <w:lang w:val="zh-CN"/>
              </w:rPr>
              <w:t>比选文件的澄清</w:t>
            </w:r>
            <w:r>
              <w:rPr>
                <w:rFonts w:hint="eastAsia"/>
                <w:highlight w:val="none"/>
              </w:rPr>
              <w:t>、修改书及有关补充通知均为比选文件的有效组成部分</w:t>
            </w:r>
          </w:p>
        </w:tc>
      </w:tr>
      <w:tr w14:paraId="4F013E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3" w:hRule="exact"/>
        </w:trPr>
        <w:tc>
          <w:tcPr>
            <w:tcW w:w="851" w:type="dxa"/>
            <w:vAlign w:val="center"/>
          </w:tcPr>
          <w:p w14:paraId="38987E09">
            <w:pPr>
              <w:pStyle w:val="132"/>
              <w:jc w:val="center"/>
              <w:rPr>
                <w:b/>
                <w:highlight w:val="none"/>
                <w:lang w:val="zh-CN"/>
              </w:rPr>
            </w:pPr>
            <w:r>
              <w:rPr>
                <w:rFonts w:hint="eastAsia"/>
                <w:b/>
                <w:highlight w:val="none"/>
              </w:rPr>
              <w:t>12</w:t>
            </w:r>
          </w:p>
        </w:tc>
        <w:tc>
          <w:tcPr>
            <w:tcW w:w="2131" w:type="dxa"/>
            <w:vAlign w:val="center"/>
          </w:tcPr>
          <w:p w14:paraId="5E705D45">
            <w:pPr>
              <w:pStyle w:val="132"/>
              <w:jc w:val="center"/>
              <w:rPr>
                <w:b/>
                <w:highlight w:val="none"/>
                <w:lang w:val="zh-CN"/>
              </w:rPr>
            </w:pPr>
            <w:r>
              <w:rPr>
                <w:rFonts w:hint="eastAsia"/>
                <w:b/>
                <w:highlight w:val="none"/>
                <w:lang w:val="zh-CN"/>
              </w:rPr>
              <w:t>比选申请截止时间</w:t>
            </w:r>
          </w:p>
        </w:tc>
        <w:tc>
          <w:tcPr>
            <w:tcW w:w="5807" w:type="dxa"/>
            <w:vAlign w:val="center"/>
          </w:tcPr>
          <w:p w14:paraId="234F260A">
            <w:pPr>
              <w:pStyle w:val="132"/>
              <w:rPr>
                <w:highlight w:val="none"/>
              </w:rPr>
            </w:pPr>
            <w:r>
              <w:rPr>
                <w:rFonts w:hint="eastAsia"/>
                <w:highlight w:val="none"/>
              </w:rPr>
              <w:t>详见比选公告</w:t>
            </w:r>
          </w:p>
        </w:tc>
      </w:tr>
      <w:tr w14:paraId="4D8EC1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4" w:hRule="exact"/>
        </w:trPr>
        <w:tc>
          <w:tcPr>
            <w:tcW w:w="851" w:type="dxa"/>
            <w:tcBorders>
              <w:bottom w:val="single" w:color="auto" w:sz="8" w:space="0"/>
            </w:tcBorders>
            <w:vAlign w:val="center"/>
          </w:tcPr>
          <w:p w14:paraId="0AAE4507">
            <w:pPr>
              <w:pStyle w:val="132"/>
              <w:jc w:val="center"/>
              <w:rPr>
                <w:b/>
                <w:highlight w:val="none"/>
                <w:lang w:val="zh-CN"/>
              </w:rPr>
            </w:pPr>
            <w:r>
              <w:rPr>
                <w:rFonts w:hint="eastAsia"/>
                <w:b/>
                <w:highlight w:val="none"/>
              </w:rPr>
              <w:t>13</w:t>
            </w:r>
          </w:p>
        </w:tc>
        <w:tc>
          <w:tcPr>
            <w:tcW w:w="2131" w:type="dxa"/>
            <w:tcBorders>
              <w:bottom w:val="single" w:color="auto" w:sz="8" w:space="0"/>
            </w:tcBorders>
            <w:vAlign w:val="center"/>
          </w:tcPr>
          <w:p w14:paraId="22464816">
            <w:pPr>
              <w:pStyle w:val="132"/>
              <w:jc w:val="center"/>
              <w:rPr>
                <w:b/>
                <w:highlight w:val="none"/>
                <w:lang w:val="zh-CN"/>
              </w:rPr>
            </w:pPr>
            <w:r>
              <w:rPr>
                <w:rFonts w:hint="eastAsia"/>
                <w:b/>
                <w:highlight w:val="none"/>
                <w:lang w:val="zh-CN"/>
              </w:rPr>
              <w:t>比选申请有效期</w:t>
            </w:r>
          </w:p>
        </w:tc>
        <w:tc>
          <w:tcPr>
            <w:tcW w:w="5807" w:type="dxa"/>
            <w:tcBorders>
              <w:bottom w:val="single" w:color="auto" w:sz="8" w:space="0"/>
            </w:tcBorders>
            <w:vAlign w:val="center"/>
          </w:tcPr>
          <w:p w14:paraId="72749B9F">
            <w:pPr>
              <w:widowControl/>
              <w:ind w:firstLine="0" w:firstLineChars="0"/>
              <w:jc w:val="left"/>
              <w:rPr>
                <w:highlight w:val="none"/>
                <w:lang w:val="zh-CN"/>
              </w:rPr>
            </w:pPr>
            <w:r>
              <w:rPr>
                <w:rFonts w:hint="eastAsia" w:ascii="宋体" w:hAnsi="宋体" w:cs="宋体"/>
                <w:sz w:val="21"/>
                <w:szCs w:val="21"/>
                <w:highlight w:val="none"/>
              </w:rPr>
              <w:t>60日历天（从提交比选申请文件的截止之日算起）</w:t>
            </w:r>
          </w:p>
        </w:tc>
      </w:tr>
      <w:bookmarkEnd w:id="26"/>
      <w:bookmarkEnd w:id="27"/>
      <w:bookmarkEnd w:id="28"/>
      <w:bookmarkEnd w:id="29"/>
      <w:tr w14:paraId="151EF8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73" w:hRule="exact"/>
        </w:trPr>
        <w:tc>
          <w:tcPr>
            <w:tcW w:w="851" w:type="dxa"/>
            <w:tcBorders>
              <w:top w:val="single" w:color="auto" w:sz="8" w:space="0"/>
              <w:left w:val="single" w:color="auto" w:sz="18" w:space="0"/>
              <w:bottom w:val="single" w:color="auto" w:sz="12" w:space="0"/>
              <w:right w:val="single" w:color="auto" w:sz="8" w:space="0"/>
            </w:tcBorders>
            <w:vAlign w:val="center"/>
          </w:tcPr>
          <w:p w14:paraId="0DBE3E06">
            <w:pPr>
              <w:pStyle w:val="132"/>
              <w:jc w:val="center"/>
              <w:rPr>
                <w:b/>
                <w:highlight w:val="none"/>
              </w:rPr>
            </w:pPr>
            <w:bookmarkStart w:id="65" w:name="_Toc183582204"/>
            <w:bookmarkStart w:id="66" w:name="_Toc77400778"/>
            <w:bookmarkStart w:id="67" w:name="_Toc89075873"/>
            <w:bookmarkStart w:id="68" w:name="_Toc217446033"/>
            <w:bookmarkStart w:id="69" w:name="_Toc183682341"/>
            <w:r>
              <w:rPr>
                <w:rFonts w:hint="eastAsia"/>
                <w:b/>
                <w:highlight w:val="none"/>
              </w:rPr>
              <w:t>14</w:t>
            </w:r>
          </w:p>
        </w:tc>
        <w:tc>
          <w:tcPr>
            <w:tcW w:w="2131" w:type="dxa"/>
            <w:tcBorders>
              <w:top w:val="single" w:color="auto" w:sz="8" w:space="0"/>
              <w:left w:val="single" w:color="auto" w:sz="8" w:space="0"/>
              <w:bottom w:val="single" w:color="auto" w:sz="12" w:space="0"/>
              <w:right w:val="single" w:color="auto" w:sz="8" w:space="0"/>
            </w:tcBorders>
            <w:vAlign w:val="center"/>
          </w:tcPr>
          <w:p w14:paraId="083ADAD8">
            <w:pPr>
              <w:pStyle w:val="132"/>
              <w:jc w:val="center"/>
              <w:rPr>
                <w:b/>
                <w:highlight w:val="none"/>
                <w:lang w:val="zh-CN"/>
              </w:rPr>
            </w:pPr>
            <w:r>
              <w:rPr>
                <w:rFonts w:hint="eastAsia"/>
                <w:b/>
                <w:highlight w:val="none"/>
                <w:lang w:val="zh-CN"/>
              </w:rPr>
              <w:t>比选申请保证金</w:t>
            </w:r>
          </w:p>
        </w:tc>
        <w:tc>
          <w:tcPr>
            <w:tcW w:w="5807" w:type="dxa"/>
            <w:tcBorders>
              <w:top w:val="single" w:color="auto" w:sz="8" w:space="0"/>
              <w:left w:val="single" w:color="auto" w:sz="8" w:space="0"/>
              <w:bottom w:val="single" w:color="auto" w:sz="12" w:space="0"/>
              <w:right w:val="single" w:color="auto" w:sz="18" w:space="0"/>
            </w:tcBorders>
            <w:vAlign w:val="center"/>
          </w:tcPr>
          <w:p w14:paraId="3BBB717C">
            <w:pPr>
              <w:pStyle w:val="132"/>
              <w:spacing w:line="300" w:lineRule="exact"/>
              <w:rPr>
                <w:highlight w:val="none"/>
              </w:rPr>
            </w:pPr>
            <w:r>
              <w:rPr>
                <w:rFonts w:hint="eastAsia"/>
                <w:highlight w:val="none"/>
              </w:rPr>
              <w:t>1.金    额：</w:t>
            </w:r>
            <w:r>
              <w:rPr>
                <w:rFonts w:hint="eastAsia"/>
                <w:highlight w:val="none"/>
                <w:lang w:val="en-US" w:eastAsia="zh-CN"/>
              </w:rPr>
              <w:t>7000</w:t>
            </w:r>
            <w:r>
              <w:rPr>
                <w:rFonts w:hint="eastAsia"/>
                <w:highlight w:val="none"/>
              </w:rPr>
              <w:t>元。</w:t>
            </w:r>
          </w:p>
          <w:p w14:paraId="673D6D5D">
            <w:pPr>
              <w:pStyle w:val="132"/>
              <w:spacing w:line="300" w:lineRule="exact"/>
              <w:rPr>
                <w:highlight w:val="none"/>
              </w:rPr>
            </w:pPr>
            <w:r>
              <w:rPr>
                <w:rFonts w:hint="eastAsia"/>
                <w:highlight w:val="none"/>
              </w:rPr>
              <w:t>2.交款方式：比选申请保证金以银行转帐（请注明项目名称）方式递交，所有递交方式均以到帐时间为准。</w:t>
            </w:r>
          </w:p>
          <w:p w14:paraId="28CDD35D">
            <w:pPr>
              <w:pStyle w:val="132"/>
              <w:spacing w:line="300" w:lineRule="exact"/>
              <w:rPr>
                <w:rFonts w:ascii="Times New Roman" w:cs="Times New Roman"/>
                <w:highlight w:val="none"/>
              </w:rPr>
            </w:pPr>
            <w:r>
              <w:rPr>
                <w:rFonts w:hint="eastAsia"/>
                <w:highlight w:val="none"/>
              </w:rPr>
              <w:t>3.收款单位：</w:t>
            </w:r>
            <w:r>
              <w:rPr>
                <w:rFonts w:hint="eastAsia" w:ascii="Times New Roman" w:cs="Times New Roman"/>
                <w:highlight w:val="none"/>
              </w:rPr>
              <w:t>四川都金山地轨道交通有限责任公司</w:t>
            </w:r>
          </w:p>
          <w:p w14:paraId="5F057A16">
            <w:pPr>
              <w:pStyle w:val="132"/>
              <w:spacing w:line="300" w:lineRule="exact"/>
              <w:rPr>
                <w:highlight w:val="none"/>
              </w:rPr>
            </w:pPr>
            <w:r>
              <w:rPr>
                <w:rFonts w:hint="eastAsia"/>
                <w:highlight w:val="none"/>
              </w:rPr>
              <w:t>4.开 户 行：中国银行股份有限公司都江堰支行</w:t>
            </w:r>
          </w:p>
          <w:p w14:paraId="0BDBD8AE">
            <w:pPr>
              <w:pStyle w:val="132"/>
              <w:spacing w:line="300" w:lineRule="exact"/>
              <w:rPr>
                <w:highlight w:val="none"/>
              </w:rPr>
            </w:pPr>
            <w:r>
              <w:rPr>
                <w:rFonts w:hint="eastAsia"/>
                <w:highlight w:val="none"/>
              </w:rPr>
              <w:t>5.银行账号：1239 6461 2168</w:t>
            </w:r>
          </w:p>
          <w:p w14:paraId="441A54F6">
            <w:pPr>
              <w:pStyle w:val="132"/>
              <w:spacing w:line="300" w:lineRule="exact"/>
              <w:rPr>
                <w:highlight w:val="none"/>
              </w:rPr>
            </w:pPr>
            <w:r>
              <w:rPr>
                <w:rFonts w:hint="eastAsia"/>
                <w:highlight w:val="none"/>
              </w:rPr>
              <w:t>6.交款截止时间：北京时间</w:t>
            </w:r>
            <w:r>
              <w:rPr>
                <w:rFonts w:hint="eastAsia"/>
                <w:highlight w:val="none"/>
                <w:lang w:val="en-US" w:eastAsia="zh-CN"/>
              </w:rPr>
              <w:t>2024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26</w:t>
            </w:r>
            <w:r>
              <w:rPr>
                <w:rFonts w:hint="eastAsia"/>
                <w:highlight w:val="none"/>
              </w:rPr>
              <w:t>日</w:t>
            </w:r>
            <w:r>
              <w:rPr>
                <w:rFonts w:hint="eastAsia"/>
                <w:highlight w:val="none"/>
                <w:lang w:val="en-US" w:eastAsia="zh-CN"/>
              </w:rPr>
              <w:t>15</w:t>
            </w:r>
            <w:r>
              <w:rPr>
                <w:rFonts w:hint="eastAsia"/>
                <w:highlight w:val="none"/>
              </w:rPr>
              <w:t>点前（比选申请保证金的缴纳以银行到账时间为准）。</w:t>
            </w:r>
          </w:p>
        </w:tc>
      </w:tr>
      <w:tr w14:paraId="1C1DAF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4" w:hRule="exact"/>
        </w:trPr>
        <w:tc>
          <w:tcPr>
            <w:tcW w:w="851" w:type="dxa"/>
            <w:tcBorders>
              <w:top w:val="single" w:color="auto" w:sz="12" w:space="0"/>
              <w:left w:val="single" w:color="auto" w:sz="18" w:space="0"/>
              <w:bottom w:val="single" w:color="auto" w:sz="8" w:space="0"/>
              <w:right w:val="single" w:color="auto" w:sz="8" w:space="0"/>
            </w:tcBorders>
            <w:vAlign w:val="center"/>
          </w:tcPr>
          <w:p w14:paraId="429CF15B">
            <w:pPr>
              <w:pStyle w:val="132"/>
              <w:jc w:val="center"/>
              <w:rPr>
                <w:b/>
                <w:highlight w:val="none"/>
              </w:rPr>
            </w:pPr>
            <w:r>
              <w:rPr>
                <w:rFonts w:hint="eastAsia"/>
                <w:b/>
                <w:highlight w:val="none"/>
              </w:rPr>
              <w:t>15</w:t>
            </w:r>
          </w:p>
        </w:tc>
        <w:tc>
          <w:tcPr>
            <w:tcW w:w="2131" w:type="dxa"/>
            <w:tcBorders>
              <w:top w:val="single" w:color="auto" w:sz="12" w:space="0"/>
              <w:left w:val="single" w:color="auto" w:sz="8" w:space="0"/>
              <w:bottom w:val="single" w:color="auto" w:sz="8" w:space="0"/>
              <w:right w:val="single" w:color="auto" w:sz="8" w:space="0"/>
            </w:tcBorders>
            <w:vAlign w:val="center"/>
          </w:tcPr>
          <w:p w14:paraId="26267EB1">
            <w:pPr>
              <w:pStyle w:val="132"/>
              <w:jc w:val="center"/>
              <w:rPr>
                <w:b/>
                <w:highlight w:val="none"/>
                <w:lang w:val="zh-CN"/>
              </w:rPr>
            </w:pPr>
            <w:r>
              <w:rPr>
                <w:rFonts w:hint="eastAsia"/>
                <w:b/>
                <w:highlight w:val="none"/>
                <w:lang w:val="zh-CN"/>
              </w:rPr>
              <w:t>备选比选申请方案</w:t>
            </w:r>
          </w:p>
          <w:p w14:paraId="793B4571">
            <w:pPr>
              <w:pStyle w:val="132"/>
              <w:jc w:val="center"/>
              <w:rPr>
                <w:b/>
                <w:highlight w:val="none"/>
                <w:lang w:val="zh-CN"/>
              </w:rPr>
            </w:pPr>
            <w:r>
              <w:rPr>
                <w:rFonts w:hint="eastAsia"/>
                <w:b/>
                <w:highlight w:val="none"/>
                <w:lang w:val="zh-CN"/>
              </w:rPr>
              <w:t>和报价</w:t>
            </w:r>
          </w:p>
        </w:tc>
        <w:tc>
          <w:tcPr>
            <w:tcW w:w="5807" w:type="dxa"/>
            <w:tcBorders>
              <w:top w:val="single" w:color="auto" w:sz="12" w:space="0"/>
              <w:left w:val="single" w:color="auto" w:sz="8" w:space="0"/>
              <w:bottom w:val="single" w:color="auto" w:sz="8" w:space="0"/>
              <w:right w:val="single" w:color="auto" w:sz="18" w:space="0"/>
            </w:tcBorders>
            <w:vAlign w:val="center"/>
          </w:tcPr>
          <w:p w14:paraId="7741C989">
            <w:pPr>
              <w:pStyle w:val="132"/>
              <w:jc w:val="both"/>
              <w:rPr>
                <w:highlight w:val="none"/>
              </w:rPr>
            </w:pPr>
            <w:r>
              <w:rPr>
                <w:rFonts w:hint="eastAsia"/>
                <w:highlight w:val="none"/>
              </w:rPr>
              <w:t>不接受备选比选申请方案和多个报价。</w:t>
            </w:r>
          </w:p>
        </w:tc>
      </w:tr>
      <w:tr w14:paraId="513839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1" w:hRule="exact"/>
        </w:trPr>
        <w:tc>
          <w:tcPr>
            <w:tcW w:w="851" w:type="dxa"/>
            <w:tcBorders>
              <w:top w:val="single" w:color="auto" w:sz="8" w:space="0"/>
              <w:left w:val="single" w:color="auto" w:sz="18" w:space="0"/>
              <w:bottom w:val="single" w:color="auto" w:sz="8" w:space="0"/>
              <w:right w:val="single" w:color="auto" w:sz="8" w:space="0"/>
            </w:tcBorders>
            <w:vAlign w:val="center"/>
          </w:tcPr>
          <w:p w14:paraId="077421B0">
            <w:pPr>
              <w:pStyle w:val="132"/>
              <w:jc w:val="center"/>
              <w:rPr>
                <w:b/>
                <w:highlight w:val="none"/>
              </w:rPr>
            </w:pPr>
            <w:r>
              <w:rPr>
                <w:rFonts w:hint="eastAsia"/>
                <w:b/>
                <w:highlight w:val="none"/>
              </w:rPr>
              <w:t>16</w:t>
            </w:r>
          </w:p>
        </w:tc>
        <w:tc>
          <w:tcPr>
            <w:tcW w:w="2131" w:type="dxa"/>
            <w:tcBorders>
              <w:top w:val="single" w:color="auto" w:sz="8" w:space="0"/>
              <w:left w:val="single" w:color="auto" w:sz="8" w:space="0"/>
              <w:bottom w:val="single" w:color="auto" w:sz="8" w:space="0"/>
              <w:right w:val="single" w:color="auto" w:sz="8" w:space="0"/>
            </w:tcBorders>
            <w:vAlign w:val="center"/>
          </w:tcPr>
          <w:p w14:paraId="7AEF2CF2">
            <w:pPr>
              <w:pStyle w:val="132"/>
              <w:jc w:val="center"/>
              <w:rPr>
                <w:b/>
                <w:highlight w:val="none"/>
                <w:lang w:val="zh-CN"/>
              </w:rPr>
            </w:pPr>
            <w:r>
              <w:rPr>
                <w:rFonts w:hint="eastAsia"/>
                <w:b/>
                <w:highlight w:val="none"/>
                <w:lang w:val="zh-CN"/>
              </w:rPr>
              <w:t>签字盖章</w:t>
            </w:r>
          </w:p>
        </w:tc>
        <w:tc>
          <w:tcPr>
            <w:tcW w:w="5807" w:type="dxa"/>
            <w:tcBorders>
              <w:top w:val="single" w:color="auto" w:sz="8" w:space="0"/>
              <w:left w:val="single" w:color="auto" w:sz="8" w:space="0"/>
              <w:bottom w:val="single" w:color="auto" w:sz="8" w:space="0"/>
              <w:right w:val="single" w:color="auto" w:sz="18" w:space="0"/>
            </w:tcBorders>
            <w:vAlign w:val="center"/>
          </w:tcPr>
          <w:p w14:paraId="11E2946D">
            <w:pPr>
              <w:pStyle w:val="132"/>
              <w:jc w:val="both"/>
              <w:rPr>
                <w:highlight w:val="none"/>
              </w:rPr>
            </w:pPr>
            <w:r>
              <w:rPr>
                <w:rFonts w:hint="eastAsia"/>
                <w:highlight w:val="none"/>
              </w:rPr>
              <w:t>比选申请人必须按照比选文件的规定和要求签字、盖章。</w:t>
            </w:r>
          </w:p>
        </w:tc>
      </w:tr>
      <w:tr w14:paraId="779F70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1" w:hRule="exact"/>
        </w:trPr>
        <w:tc>
          <w:tcPr>
            <w:tcW w:w="851" w:type="dxa"/>
            <w:tcBorders>
              <w:top w:val="single" w:color="auto" w:sz="8" w:space="0"/>
              <w:left w:val="single" w:color="auto" w:sz="18" w:space="0"/>
              <w:bottom w:val="single" w:color="auto" w:sz="8" w:space="0"/>
              <w:right w:val="single" w:color="auto" w:sz="8" w:space="0"/>
            </w:tcBorders>
            <w:vAlign w:val="center"/>
          </w:tcPr>
          <w:p w14:paraId="77283ADB">
            <w:pPr>
              <w:pStyle w:val="132"/>
              <w:jc w:val="center"/>
              <w:rPr>
                <w:b/>
                <w:highlight w:val="none"/>
              </w:rPr>
            </w:pPr>
            <w:r>
              <w:rPr>
                <w:rFonts w:hint="eastAsia"/>
                <w:b/>
                <w:highlight w:val="none"/>
              </w:rPr>
              <w:t>17</w:t>
            </w:r>
          </w:p>
        </w:tc>
        <w:tc>
          <w:tcPr>
            <w:tcW w:w="2131" w:type="dxa"/>
            <w:tcBorders>
              <w:top w:val="single" w:color="auto" w:sz="8" w:space="0"/>
              <w:left w:val="single" w:color="auto" w:sz="8" w:space="0"/>
              <w:bottom w:val="single" w:color="auto" w:sz="8" w:space="0"/>
              <w:right w:val="single" w:color="auto" w:sz="8" w:space="0"/>
            </w:tcBorders>
            <w:vAlign w:val="center"/>
          </w:tcPr>
          <w:p w14:paraId="6C16D830">
            <w:pPr>
              <w:pStyle w:val="132"/>
              <w:jc w:val="center"/>
              <w:rPr>
                <w:b/>
                <w:highlight w:val="none"/>
                <w:lang w:val="zh-CN"/>
              </w:rPr>
            </w:pPr>
            <w:r>
              <w:rPr>
                <w:rFonts w:hint="eastAsia"/>
                <w:b/>
                <w:highlight w:val="none"/>
                <w:lang w:val="zh-CN"/>
              </w:rPr>
              <w:t>比选申请文件份数</w:t>
            </w:r>
          </w:p>
        </w:tc>
        <w:tc>
          <w:tcPr>
            <w:tcW w:w="5807" w:type="dxa"/>
            <w:tcBorders>
              <w:top w:val="single" w:color="auto" w:sz="8" w:space="0"/>
              <w:left w:val="single" w:color="auto" w:sz="8" w:space="0"/>
              <w:bottom w:val="single" w:color="auto" w:sz="8" w:space="0"/>
              <w:right w:val="single" w:color="auto" w:sz="18" w:space="0"/>
            </w:tcBorders>
            <w:vAlign w:val="center"/>
          </w:tcPr>
          <w:p w14:paraId="02687A97">
            <w:pPr>
              <w:pStyle w:val="132"/>
              <w:jc w:val="both"/>
              <w:rPr>
                <w:highlight w:val="none"/>
              </w:rPr>
            </w:pPr>
            <w:r>
              <w:rPr>
                <w:rFonts w:hint="eastAsia"/>
                <w:highlight w:val="none"/>
              </w:rPr>
              <w:t>正本1份；副本2份；电子文档（U盘或光盘）1份。</w:t>
            </w:r>
          </w:p>
        </w:tc>
      </w:tr>
      <w:tr w14:paraId="4682A4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28" w:hRule="exact"/>
        </w:trPr>
        <w:tc>
          <w:tcPr>
            <w:tcW w:w="851" w:type="dxa"/>
            <w:tcBorders>
              <w:top w:val="single" w:color="auto" w:sz="8" w:space="0"/>
              <w:left w:val="single" w:color="auto" w:sz="18" w:space="0"/>
              <w:bottom w:val="single" w:color="auto" w:sz="8" w:space="0"/>
              <w:right w:val="single" w:color="auto" w:sz="8" w:space="0"/>
            </w:tcBorders>
            <w:vAlign w:val="center"/>
          </w:tcPr>
          <w:p w14:paraId="1880F0FD">
            <w:pPr>
              <w:pStyle w:val="132"/>
              <w:jc w:val="center"/>
              <w:rPr>
                <w:b/>
                <w:highlight w:val="none"/>
              </w:rPr>
            </w:pPr>
            <w:r>
              <w:rPr>
                <w:rFonts w:hint="eastAsia"/>
                <w:b/>
                <w:highlight w:val="none"/>
              </w:rPr>
              <w:t>18</w:t>
            </w:r>
          </w:p>
        </w:tc>
        <w:tc>
          <w:tcPr>
            <w:tcW w:w="2131" w:type="dxa"/>
            <w:tcBorders>
              <w:top w:val="single" w:color="auto" w:sz="8" w:space="0"/>
              <w:left w:val="single" w:color="auto" w:sz="8" w:space="0"/>
              <w:bottom w:val="single" w:color="auto" w:sz="8" w:space="0"/>
              <w:right w:val="single" w:color="auto" w:sz="8" w:space="0"/>
            </w:tcBorders>
            <w:vAlign w:val="center"/>
          </w:tcPr>
          <w:p w14:paraId="77FAEB25">
            <w:pPr>
              <w:pStyle w:val="132"/>
              <w:jc w:val="center"/>
              <w:rPr>
                <w:b/>
                <w:highlight w:val="none"/>
                <w:lang w:val="zh-CN"/>
              </w:rPr>
            </w:pPr>
            <w:r>
              <w:rPr>
                <w:rFonts w:hint="eastAsia"/>
                <w:b/>
                <w:highlight w:val="none"/>
                <w:lang w:val="zh-CN"/>
              </w:rPr>
              <w:t>装订要求</w:t>
            </w:r>
          </w:p>
        </w:tc>
        <w:tc>
          <w:tcPr>
            <w:tcW w:w="5807" w:type="dxa"/>
            <w:tcBorders>
              <w:top w:val="single" w:color="auto" w:sz="8" w:space="0"/>
              <w:left w:val="single" w:color="auto" w:sz="8" w:space="0"/>
              <w:bottom w:val="single" w:color="auto" w:sz="8" w:space="0"/>
              <w:right w:val="single" w:color="auto" w:sz="18" w:space="0"/>
            </w:tcBorders>
            <w:vAlign w:val="center"/>
          </w:tcPr>
          <w:p w14:paraId="1C4BE794">
            <w:pPr>
              <w:pStyle w:val="132"/>
              <w:jc w:val="both"/>
              <w:rPr>
                <w:highlight w:val="none"/>
              </w:rPr>
            </w:pPr>
            <w:r>
              <w:rPr>
                <w:rFonts w:hint="eastAsia"/>
                <w:highlight w:val="none"/>
              </w:rPr>
              <w:t>比选申请文件的正本和副本一律用A4纸（图、表及证件可以除外）编制和复制。</w:t>
            </w:r>
          </w:p>
          <w:p w14:paraId="2835830F">
            <w:pPr>
              <w:pStyle w:val="132"/>
              <w:jc w:val="both"/>
              <w:rPr>
                <w:highlight w:val="none"/>
              </w:rPr>
            </w:pPr>
            <w:r>
              <w:rPr>
                <w:rFonts w:hint="eastAsia"/>
                <w:highlight w:val="none"/>
              </w:rPr>
              <w:t>比选申请文件的正本和副本应采用粘贴方式左侧装订，不得采用活页夹等可随时拆换的方式装订，不得有零散页。比选申请文件应严格按照第五章“比选申请文件格式”中的目录次序装订；若同一册的内容较多，可装订成若干分册，并在封面标明次序及册数。</w:t>
            </w:r>
          </w:p>
          <w:p w14:paraId="294030E1">
            <w:pPr>
              <w:pStyle w:val="132"/>
              <w:jc w:val="both"/>
              <w:rPr>
                <w:highlight w:val="none"/>
              </w:rPr>
            </w:pPr>
            <w:r>
              <w:rPr>
                <w:rFonts w:hint="eastAsia"/>
                <w:highlight w:val="none"/>
              </w:rPr>
              <w:t>比选申请文件中的证明、证件及附件等的复制件应集中紧附在相应正文内容后面，并尽量与前面正文部分的顺序相对应。</w:t>
            </w:r>
          </w:p>
          <w:p w14:paraId="4514CEEA">
            <w:pPr>
              <w:pStyle w:val="132"/>
              <w:jc w:val="both"/>
              <w:rPr>
                <w:highlight w:val="none"/>
              </w:rPr>
            </w:pPr>
            <w:r>
              <w:rPr>
                <w:rFonts w:hint="eastAsia"/>
                <w:highlight w:val="none"/>
              </w:rPr>
              <w:t>修改的比选申请文件的装订也应按本要求办理。</w:t>
            </w:r>
          </w:p>
        </w:tc>
      </w:tr>
      <w:tr w14:paraId="6D53CF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4" w:hRule="exact"/>
        </w:trPr>
        <w:tc>
          <w:tcPr>
            <w:tcW w:w="851" w:type="dxa"/>
            <w:tcBorders>
              <w:top w:val="single" w:color="auto" w:sz="8" w:space="0"/>
              <w:left w:val="single" w:color="auto" w:sz="18" w:space="0"/>
              <w:bottom w:val="single" w:color="auto" w:sz="8" w:space="0"/>
              <w:right w:val="single" w:color="auto" w:sz="8" w:space="0"/>
            </w:tcBorders>
            <w:vAlign w:val="center"/>
          </w:tcPr>
          <w:p w14:paraId="4A8D82A4">
            <w:pPr>
              <w:pStyle w:val="132"/>
              <w:jc w:val="center"/>
              <w:rPr>
                <w:b/>
                <w:highlight w:val="none"/>
              </w:rPr>
            </w:pPr>
            <w:r>
              <w:rPr>
                <w:rFonts w:hint="eastAsia"/>
                <w:b/>
                <w:highlight w:val="none"/>
              </w:rPr>
              <w:t>19</w:t>
            </w:r>
          </w:p>
        </w:tc>
        <w:tc>
          <w:tcPr>
            <w:tcW w:w="2131" w:type="dxa"/>
            <w:tcBorders>
              <w:top w:val="single" w:color="auto" w:sz="8" w:space="0"/>
              <w:left w:val="single" w:color="auto" w:sz="8" w:space="0"/>
              <w:bottom w:val="single" w:color="auto" w:sz="8" w:space="0"/>
              <w:right w:val="single" w:color="auto" w:sz="8" w:space="0"/>
            </w:tcBorders>
            <w:vAlign w:val="center"/>
          </w:tcPr>
          <w:p w14:paraId="3B08B44A">
            <w:pPr>
              <w:pStyle w:val="132"/>
              <w:jc w:val="center"/>
              <w:rPr>
                <w:b/>
                <w:highlight w:val="none"/>
                <w:lang w:val="zh-CN"/>
              </w:rPr>
            </w:pPr>
            <w:r>
              <w:rPr>
                <w:rFonts w:hint="eastAsia"/>
                <w:b/>
                <w:highlight w:val="none"/>
                <w:lang w:val="zh-CN"/>
              </w:rPr>
              <w:t>比选申请文件的</w:t>
            </w:r>
          </w:p>
          <w:p w14:paraId="5DD529D4">
            <w:pPr>
              <w:pStyle w:val="132"/>
              <w:jc w:val="center"/>
              <w:rPr>
                <w:b/>
                <w:highlight w:val="none"/>
                <w:lang w:val="zh-CN"/>
              </w:rPr>
            </w:pPr>
            <w:r>
              <w:rPr>
                <w:rFonts w:hint="eastAsia"/>
                <w:b/>
                <w:highlight w:val="none"/>
                <w:lang w:val="zh-CN"/>
              </w:rPr>
              <w:t>包装和密封</w:t>
            </w:r>
          </w:p>
        </w:tc>
        <w:tc>
          <w:tcPr>
            <w:tcW w:w="5807" w:type="dxa"/>
            <w:tcBorders>
              <w:top w:val="single" w:color="auto" w:sz="8" w:space="0"/>
              <w:left w:val="single" w:color="auto" w:sz="8" w:space="0"/>
              <w:bottom w:val="single" w:color="auto" w:sz="8" w:space="0"/>
              <w:right w:val="single" w:color="auto" w:sz="18" w:space="0"/>
            </w:tcBorders>
            <w:vAlign w:val="center"/>
          </w:tcPr>
          <w:p w14:paraId="0CA712EE">
            <w:pPr>
              <w:pStyle w:val="132"/>
              <w:jc w:val="both"/>
              <w:rPr>
                <w:highlight w:val="none"/>
              </w:rPr>
            </w:pPr>
            <w:r>
              <w:rPr>
                <w:rFonts w:hint="eastAsia"/>
                <w:highlight w:val="none"/>
              </w:rPr>
              <w:t>比选申请文件的正本和副本应分开包装，正本和电子文档一个包装，副本一个包装。</w:t>
            </w:r>
          </w:p>
          <w:p w14:paraId="73A5F42A">
            <w:pPr>
              <w:pStyle w:val="132"/>
              <w:jc w:val="both"/>
              <w:rPr>
                <w:highlight w:val="none"/>
              </w:rPr>
            </w:pPr>
            <w:r>
              <w:rPr>
                <w:rFonts w:hint="eastAsia"/>
                <w:highlight w:val="none"/>
              </w:rPr>
              <w:t>每一个包装都应在其封口处加贴封条，并在封套的封口处加盖比选申请人单位章（鲜章）。</w:t>
            </w:r>
          </w:p>
        </w:tc>
      </w:tr>
      <w:tr w14:paraId="0AB509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6" w:hRule="exact"/>
        </w:trPr>
        <w:tc>
          <w:tcPr>
            <w:tcW w:w="851" w:type="dxa"/>
            <w:tcBorders>
              <w:top w:val="single" w:color="auto" w:sz="8" w:space="0"/>
              <w:left w:val="single" w:color="auto" w:sz="18" w:space="0"/>
              <w:bottom w:val="single" w:color="auto" w:sz="8" w:space="0"/>
              <w:right w:val="single" w:color="auto" w:sz="8" w:space="0"/>
            </w:tcBorders>
            <w:vAlign w:val="center"/>
          </w:tcPr>
          <w:p w14:paraId="464A3F57">
            <w:pPr>
              <w:pStyle w:val="132"/>
              <w:jc w:val="center"/>
              <w:rPr>
                <w:b/>
                <w:highlight w:val="none"/>
              </w:rPr>
            </w:pPr>
            <w:r>
              <w:rPr>
                <w:rFonts w:hint="eastAsia"/>
                <w:b/>
                <w:highlight w:val="none"/>
              </w:rPr>
              <w:t>20</w:t>
            </w:r>
          </w:p>
        </w:tc>
        <w:tc>
          <w:tcPr>
            <w:tcW w:w="2131" w:type="dxa"/>
            <w:tcBorders>
              <w:top w:val="single" w:color="auto" w:sz="8" w:space="0"/>
              <w:left w:val="single" w:color="auto" w:sz="8" w:space="0"/>
              <w:bottom w:val="single" w:color="auto" w:sz="8" w:space="0"/>
              <w:right w:val="single" w:color="auto" w:sz="8" w:space="0"/>
            </w:tcBorders>
            <w:vAlign w:val="center"/>
          </w:tcPr>
          <w:p w14:paraId="7EC72B75">
            <w:pPr>
              <w:pStyle w:val="132"/>
              <w:jc w:val="center"/>
              <w:rPr>
                <w:b/>
                <w:highlight w:val="none"/>
                <w:lang w:val="zh-CN"/>
              </w:rPr>
            </w:pPr>
            <w:r>
              <w:rPr>
                <w:rFonts w:hint="eastAsia"/>
                <w:b/>
                <w:highlight w:val="none"/>
                <w:lang w:val="zh-CN"/>
              </w:rPr>
              <w:t>封套上写明</w:t>
            </w:r>
          </w:p>
        </w:tc>
        <w:tc>
          <w:tcPr>
            <w:tcW w:w="5807" w:type="dxa"/>
            <w:tcBorders>
              <w:top w:val="single" w:color="auto" w:sz="8" w:space="0"/>
              <w:left w:val="single" w:color="auto" w:sz="8" w:space="0"/>
              <w:bottom w:val="single" w:color="auto" w:sz="8" w:space="0"/>
              <w:right w:val="single" w:color="auto" w:sz="18" w:space="0"/>
            </w:tcBorders>
            <w:vAlign w:val="center"/>
          </w:tcPr>
          <w:p w14:paraId="43211E71">
            <w:pPr>
              <w:pStyle w:val="132"/>
              <w:jc w:val="both"/>
              <w:rPr>
                <w:highlight w:val="none"/>
              </w:rPr>
            </w:pPr>
            <w:r>
              <w:rPr>
                <w:rFonts w:hint="eastAsia"/>
                <w:highlight w:val="none"/>
              </w:rPr>
              <w:t>比选人的地址：</w:t>
            </w:r>
            <w:r>
              <w:rPr>
                <w:rFonts w:hint="eastAsia" w:asciiTheme="minorEastAsia" w:hAnsiTheme="minorEastAsia" w:eastAsiaTheme="minorEastAsia" w:cstheme="minorEastAsia"/>
                <w:highlight w:val="none"/>
              </w:rPr>
              <w:t>都江堰市观景路833号</w:t>
            </w:r>
            <w:r>
              <w:rPr>
                <w:rFonts w:hint="eastAsia"/>
                <w:highlight w:val="none"/>
              </w:rPr>
              <w:t xml:space="preserve">              </w:t>
            </w:r>
          </w:p>
          <w:p w14:paraId="14E19A06">
            <w:pPr>
              <w:pStyle w:val="132"/>
              <w:jc w:val="both"/>
              <w:rPr>
                <w:highlight w:val="none"/>
              </w:rPr>
            </w:pPr>
            <w:r>
              <w:rPr>
                <w:rFonts w:hint="eastAsia"/>
                <w:highlight w:val="none"/>
              </w:rPr>
              <w:t>比选人全称：</w:t>
            </w:r>
            <w:r>
              <w:rPr>
                <w:rFonts w:hint="eastAsia" w:ascii="Times New Roman" w:cs="Times New Roman"/>
                <w:highlight w:val="none"/>
              </w:rPr>
              <w:t>四川都金山地轨道交通有限责任公司</w:t>
            </w:r>
            <w:r>
              <w:rPr>
                <w:rFonts w:hint="eastAsia"/>
                <w:highlight w:val="none"/>
                <w:u w:val="single"/>
              </w:rPr>
              <w:t xml:space="preserve">       （项目名称）</w:t>
            </w:r>
            <w:r>
              <w:rPr>
                <w:rFonts w:hint="eastAsia"/>
                <w:highlight w:val="none"/>
              </w:rPr>
              <w:t>比选申请文件</w:t>
            </w:r>
          </w:p>
          <w:p w14:paraId="46CF26D5">
            <w:pPr>
              <w:pStyle w:val="132"/>
              <w:jc w:val="both"/>
              <w:rPr>
                <w:highlight w:val="none"/>
              </w:rPr>
            </w:pPr>
            <w:r>
              <w:rPr>
                <w:rFonts w:hint="eastAsia"/>
                <w:highlight w:val="none"/>
              </w:rPr>
              <w:t>在</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 xml:space="preserve"> 月</w:t>
            </w:r>
            <w:r>
              <w:rPr>
                <w:rFonts w:hint="eastAsia"/>
                <w:highlight w:val="none"/>
                <w:u w:val="single"/>
              </w:rPr>
              <w:t>_ _</w:t>
            </w:r>
            <w:r>
              <w:rPr>
                <w:rFonts w:hint="eastAsia"/>
                <w:highlight w:val="none"/>
              </w:rPr>
              <w:t>日</w:t>
            </w:r>
            <w:r>
              <w:rPr>
                <w:rFonts w:hint="eastAsia"/>
                <w:highlight w:val="none"/>
                <w:u w:val="single"/>
              </w:rPr>
              <w:t xml:space="preserve">_   </w:t>
            </w:r>
            <w:r>
              <w:rPr>
                <w:rFonts w:hint="eastAsia"/>
                <w:highlight w:val="none"/>
              </w:rPr>
              <w:t>时</w:t>
            </w:r>
            <w:r>
              <w:rPr>
                <w:rFonts w:hint="eastAsia"/>
                <w:highlight w:val="none"/>
                <w:u w:val="single"/>
              </w:rPr>
              <w:t xml:space="preserve">  </w:t>
            </w:r>
            <w:r>
              <w:rPr>
                <w:rFonts w:hint="eastAsia"/>
                <w:highlight w:val="none"/>
              </w:rPr>
              <w:t xml:space="preserve"> 分前不得开启。（时间由比选申请人按照比选文件要求自行填写）</w:t>
            </w:r>
          </w:p>
        </w:tc>
      </w:tr>
      <w:tr w14:paraId="3E93CE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trPr>
        <w:tc>
          <w:tcPr>
            <w:tcW w:w="851" w:type="dxa"/>
            <w:tcBorders>
              <w:top w:val="single" w:color="auto" w:sz="8" w:space="0"/>
              <w:left w:val="single" w:color="auto" w:sz="18" w:space="0"/>
              <w:bottom w:val="single" w:color="auto" w:sz="8" w:space="0"/>
              <w:right w:val="single" w:color="auto" w:sz="8" w:space="0"/>
            </w:tcBorders>
            <w:vAlign w:val="center"/>
          </w:tcPr>
          <w:p w14:paraId="0C9E3452">
            <w:pPr>
              <w:pStyle w:val="132"/>
              <w:jc w:val="center"/>
              <w:rPr>
                <w:b/>
                <w:highlight w:val="none"/>
              </w:rPr>
            </w:pPr>
            <w:r>
              <w:rPr>
                <w:rFonts w:hint="eastAsia"/>
                <w:b/>
                <w:highlight w:val="none"/>
              </w:rPr>
              <w:t>21</w:t>
            </w:r>
          </w:p>
        </w:tc>
        <w:tc>
          <w:tcPr>
            <w:tcW w:w="2131" w:type="dxa"/>
            <w:tcBorders>
              <w:top w:val="single" w:color="auto" w:sz="8" w:space="0"/>
              <w:left w:val="single" w:color="auto" w:sz="8" w:space="0"/>
              <w:bottom w:val="single" w:color="auto" w:sz="8" w:space="0"/>
              <w:right w:val="single" w:color="auto" w:sz="8" w:space="0"/>
            </w:tcBorders>
            <w:vAlign w:val="center"/>
          </w:tcPr>
          <w:p w14:paraId="262230A8">
            <w:pPr>
              <w:pStyle w:val="132"/>
              <w:jc w:val="center"/>
              <w:rPr>
                <w:b/>
                <w:highlight w:val="none"/>
                <w:lang w:val="zh-CN"/>
              </w:rPr>
            </w:pPr>
            <w:r>
              <w:rPr>
                <w:rFonts w:hint="eastAsia"/>
                <w:b/>
                <w:highlight w:val="none"/>
                <w:lang w:val="zh-CN"/>
              </w:rPr>
              <w:t>递交比选申请文件地点</w:t>
            </w:r>
          </w:p>
        </w:tc>
        <w:tc>
          <w:tcPr>
            <w:tcW w:w="5807" w:type="dxa"/>
            <w:tcBorders>
              <w:top w:val="single" w:color="auto" w:sz="8" w:space="0"/>
              <w:left w:val="single" w:color="auto" w:sz="8" w:space="0"/>
              <w:bottom w:val="single" w:color="auto" w:sz="8" w:space="0"/>
              <w:right w:val="single" w:color="auto" w:sz="18" w:space="0"/>
            </w:tcBorders>
            <w:vAlign w:val="center"/>
          </w:tcPr>
          <w:p w14:paraId="6F4E5679">
            <w:pPr>
              <w:pStyle w:val="132"/>
              <w:jc w:val="both"/>
              <w:rPr>
                <w:highlight w:val="none"/>
              </w:rPr>
            </w:pPr>
            <w:r>
              <w:rPr>
                <w:rFonts w:hint="eastAsia"/>
                <w:highlight w:val="none"/>
              </w:rPr>
              <w:t>详见比选公告。</w:t>
            </w:r>
          </w:p>
        </w:tc>
      </w:tr>
      <w:tr w14:paraId="3A8C9A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trPr>
        <w:tc>
          <w:tcPr>
            <w:tcW w:w="851" w:type="dxa"/>
            <w:tcBorders>
              <w:top w:val="single" w:color="auto" w:sz="8" w:space="0"/>
              <w:left w:val="single" w:color="auto" w:sz="18" w:space="0"/>
              <w:bottom w:val="single" w:color="auto" w:sz="8" w:space="0"/>
              <w:right w:val="single" w:color="auto" w:sz="8" w:space="0"/>
            </w:tcBorders>
            <w:vAlign w:val="center"/>
          </w:tcPr>
          <w:p w14:paraId="045D845E">
            <w:pPr>
              <w:pStyle w:val="132"/>
              <w:jc w:val="center"/>
              <w:rPr>
                <w:b/>
                <w:highlight w:val="none"/>
              </w:rPr>
            </w:pPr>
            <w:r>
              <w:rPr>
                <w:rFonts w:hint="eastAsia"/>
                <w:b/>
                <w:highlight w:val="none"/>
              </w:rPr>
              <w:t>22</w:t>
            </w:r>
          </w:p>
        </w:tc>
        <w:tc>
          <w:tcPr>
            <w:tcW w:w="2131" w:type="dxa"/>
            <w:tcBorders>
              <w:top w:val="single" w:color="auto" w:sz="8" w:space="0"/>
              <w:left w:val="single" w:color="auto" w:sz="8" w:space="0"/>
              <w:bottom w:val="single" w:color="auto" w:sz="8" w:space="0"/>
              <w:right w:val="single" w:color="auto" w:sz="8" w:space="0"/>
            </w:tcBorders>
            <w:vAlign w:val="center"/>
          </w:tcPr>
          <w:p w14:paraId="483230FF">
            <w:pPr>
              <w:pStyle w:val="132"/>
              <w:jc w:val="center"/>
              <w:rPr>
                <w:b/>
                <w:highlight w:val="none"/>
                <w:lang w:val="zh-CN"/>
              </w:rPr>
            </w:pPr>
            <w:r>
              <w:rPr>
                <w:rFonts w:hint="eastAsia"/>
                <w:b/>
                <w:highlight w:val="none"/>
                <w:lang w:val="zh-CN"/>
              </w:rPr>
              <w:t>开标时间和地点</w:t>
            </w:r>
          </w:p>
        </w:tc>
        <w:tc>
          <w:tcPr>
            <w:tcW w:w="5807" w:type="dxa"/>
            <w:tcBorders>
              <w:top w:val="single" w:color="auto" w:sz="8" w:space="0"/>
              <w:left w:val="single" w:color="auto" w:sz="8" w:space="0"/>
              <w:bottom w:val="single" w:color="auto" w:sz="8" w:space="0"/>
              <w:right w:val="single" w:color="auto" w:sz="18" w:space="0"/>
            </w:tcBorders>
            <w:vAlign w:val="center"/>
          </w:tcPr>
          <w:p w14:paraId="3F7D221A">
            <w:pPr>
              <w:pStyle w:val="132"/>
              <w:jc w:val="both"/>
              <w:rPr>
                <w:highlight w:val="none"/>
                <w:u w:val="single"/>
              </w:rPr>
            </w:pPr>
            <w:r>
              <w:rPr>
                <w:rFonts w:hint="eastAsia"/>
                <w:highlight w:val="none"/>
              </w:rPr>
              <w:t>详见比选公告。</w:t>
            </w:r>
          </w:p>
        </w:tc>
      </w:tr>
      <w:tr w14:paraId="796506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0" w:hRule="exact"/>
        </w:trPr>
        <w:tc>
          <w:tcPr>
            <w:tcW w:w="851" w:type="dxa"/>
            <w:tcBorders>
              <w:top w:val="single" w:color="auto" w:sz="8" w:space="0"/>
              <w:left w:val="single" w:color="auto" w:sz="18" w:space="0"/>
              <w:bottom w:val="single" w:color="auto" w:sz="8" w:space="0"/>
              <w:right w:val="single" w:color="auto" w:sz="8" w:space="0"/>
            </w:tcBorders>
            <w:vAlign w:val="center"/>
          </w:tcPr>
          <w:p w14:paraId="1B070CF8">
            <w:pPr>
              <w:pStyle w:val="132"/>
              <w:jc w:val="center"/>
              <w:rPr>
                <w:b/>
                <w:highlight w:val="none"/>
              </w:rPr>
            </w:pPr>
            <w:r>
              <w:rPr>
                <w:rFonts w:hint="eastAsia"/>
                <w:b/>
                <w:highlight w:val="none"/>
              </w:rPr>
              <w:t>23</w:t>
            </w:r>
          </w:p>
        </w:tc>
        <w:tc>
          <w:tcPr>
            <w:tcW w:w="2131" w:type="dxa"/>
            <w:tcBorders>
              <w:top w:val="single" w:color="auto" w:sz="8" w:space="0"/>
              <w:left w:val="single" w:color="auto" w:sz="8" w:space="0"/>
              <w:bottom w:val="single" w:color="auto" w:sz="8" w:space="0"/>
              <w:right w:val="single" w:color="auto" w:sz="8" w:space="0"/>
            </w:tcBorders>
            <w:vAlign w:val="center"/>
          </w:tcPr>
          <w:p w14:paraId="4D426F4A">
            <w:pPr>
              <w:pStyle w:val="132"/>
              <w:jc w:val="center"/>
              <w:rPr>
                <w:b/>
                <w:highlight w:val="none"/>
                <w:lang w:val="zh-CN"/>
              </w:rPr>
            </w:pPr>
            <w:r>
              <w:rPr>
                <w:rFonts w:hint="eastAsia"/>
                <w:b/>
                <w:highlight w:val="none"/>
                <w:lang w:val="zh-CN"/>
              </w:rPr>
              <w:t>比选方法</w:t>
            </w:r>
          </w:p>
        </w:tc>
        <w:tc>
          <w:tcPr>
            <w:tcW w:w="5807" w:type="dxa"/>
            <w:tcBorders>
              <w:top w:val="single" w:color="auto" w:sz="8" w:space="0"/>
              <w:left w:val="single" w:color="auto" w:sz="8" w:space="0"/>
              <w:bottom w:val="single" w:color="auto" w:sz="8" w:space="0"/>
              <w:right w:val="single" w:color="auto" w:sz="18" w:space="0"/>
            </w:tcBorders>
            <w:vAlign w:val="center"/>
          </w:tcPr>
          <w:p w14:paraId="5DBE23B4">
            <w:pPr>
              <w:pStyle w:val="132"/>
              <w:jc w:val="both"/>
              <w:rPr>
                <w:highlight w:val="none"/>
              </w:rPr>
            </w:pPr>
            <w:r>
              <w:rPr>
                <w:rFonts w:hint="eastAsia"/>
                <w:highlight w:val="none"/>
              </w:rPr>
              <w:t>综合评分法。</w:t>
            </w:r>
          </w:p>
        </w:tc>
      </w:tr>
      <w:tr w14:paraId="5D1866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9" w:hRule="atLeast"/>
        </w:trPr>
        <w:tc>
          <w:tcPr>
            <w:tcW w:w="851" w:type="dxa"/>
            <w:tcBorders>
              <w:top w:val="single" w:color="auto" w:sz="8" w:space="0"/>
              <w:bottom w:val="single" w:color="auto" w:sz="12" w:space="0"/>
            </w:tcBorders>
            <w:vAlign w:val="center"/>
          </w:tcPr>
          <w:p w14:paraId="4BC1C659">
            <w:pPr>
              <w:ind w:firstLine="0" w:firstLineChars="0"/>
              <w:jc w:val="center"/>
              <w:rPr>
                <w:rFonts w:hAnsi="宋体" w:cs="宋体"/>
                <w:bCs/>
                <w:highlight w:val="none"/>
              </w:rPr>
            </w:pPr>
            <w:r>
              <w:rPr>
                <w:rFonts w:hint="eastAsia" w:hAnsi="宋体" w:cs="宋体"/>
                <w:b/>
                <w:szCs w:val="24"/>
                <w:highlight w:val="none"/>
              </w:rPr>
              <w:t>24</w:t>
            </w:r>
          </w:p>
        </w:tc>
        <w:tc>
          <w:tcPr>
            <w:tcW w:w="2131" w:type="dxa"/>
            <w:tcBorders>
              <w:top w:val="single" w:color="auto" w:sz="8" w:space="0"/>
              <w:bottom w:val="single" w:color="auto" w:sz="12" w:space="0"/>
            </w:tcBorders>
            <w:vAlign w:val="center"/>
          </w:tcPr>
          <w:p w14:paraId="6DD65EFE">
            <w:pPr>
              <w:ind w:firstLine="198" w:firstLineChars="82"/>
              <w:jc w:val="center"/>
              <w:rPr>
                <w:rFonts w:hAnsi="宋体" w:cs="宋体"/>
                <w:bCs/>
                <w:highlight w:val="none"/>
                <w:lang w:val="zh-CN"/>
              </w:rPr>
            </w:pPr>
            <w:r>
              <w:rPr>
                <w:rFonts w:hint="eastAsia" w:hAnsi="宋体" w:cs="宋体"/>
                <w:b/>
                <w:szCs w:val="24"/>
                <w:highlight w:val="none"/>
                <w:lang w:val="zh-CN"/>
              </w:rPr>
              <w:t>纪律与监督</w:t>
            </w:r>
          </w:p>
        </w:tc>
        <w:tc>
          <w:tcPr>
            <w:tcW w:w="5807" w:type="dxa"/>
            <w:tcBorders>
              <w:top w:val="single" w:color="auto" w:sz="8" w:space="0"/>
              <w:bottom w:val="single" w:color="auto" w:sz="12" w:space="0"/>
            </w:tcBorders>
            <w:vAlign w:val="center"/>
          </w:tcPr>
          <w:p w14:paraId="4683DE21">
            <w:pPr>
              <w:pStyle w:val="132"/>
              <w:jc w:val="both"/>
              <w:rPr>
                <w:highlight w:val="none"/>
              </w:rPr>
            </w:pPr>
            <w:r>
              <w:rPr>
                <w:rFonts w:hint="eastAsia"/>
                <w:highlight w:val="none"/>
              </w:rPr>
              <w:t>（1）中标通知书发出后，中选人放弃中标项目，比选人可取消其中标资格，没收其比选申请保证金。</w:t>
            </w:r>
          </w:p>
          <w:p w14:paraId="770A2FA4">
            <w:pPr>
              <w:pStyle w:val="132"/>
              <w:jc w:val="both"/>
              <w:rPr>
                <w:bCs/>
                <w:highlight w:val="none"/>
                <w:lang w:val="zh-CN"/>
              </w:rPr>
            </w:pPr>
            <w:r>
              <w:rPr>
                <w:rFonts w:hint="eastAsia"/>
                <w:highlight w:val="none"/>
              </w:rPr>
              <w:t>（2）比选工作将接受公司纪检办公室监督。</w:t>
            </w:r>
          </w:p>
        </w:tc>
      </w:tr>
      <w:tr w14:paraId="1E183D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8789" w:type="dxa"/>
            <w:gridSpan w:val="3"/>
            <w:tcBorders>
              <w:top w:val="single" w:color="auto" w:sz="12" w:space="0"/>
            </w:tcBorders>
            <w:vAlign w:val="center"/>
          </w:tcPr>
          <w:p w14:paraId="48FD0B69">
            <w:pPr>
              <w:ind w:firstLine="482"/>
              <w:rPr>
                <w:rFonts w:hAnsi="宋体" w:cs="宋体"/>
                <w:highlight w:val="none"/>
                <w:lang w:val="zh-CN"/>
              </w:rPr>
            </w:pPr>
            <w:r>
              <w:rPr>
                <w:rFonts w:hint="eastAsia" w:hAnsi="宋体" w:cs="宋体"/>
                <w:b/>
                <w:highlight w:val="none"/>
                <w:lang w:val="zh-CN"/>
              </w:rPr>
              <w:t>备注：</w:t>
            </w:r>
            <w:r>
              <w:rPr>
                <w:rFonts w:hint="eastAsia" w:hAnsi="宋体" w:cs="宋体"/>
                <w:highlight w:val="none"/>
                <w:lang w:val="zh-CN"/>
              </w:rPr>
              <w:t>1.如比选文件其它相关内容与比选申请人须知前附表内容不一致的，以比选申请人须知前附表内容为准。</w:t>
            </w:r>
          </w:p>
        </w:tc>
      </w:tr>
    </w:tbl>
    <w:p w14:paraId="16BF476C">
      <w:pPr>
        <w:pStyle w:val="3"/>
        <w:rPr>
          <w:highlight w:val="none"/>
        </w:rPr>
      </w:pPr>
      <w:bookmarkStart w:id="70" w:name="_Toc4235"/>
      <w:bookmarkStart w:id="71" w:name="_Toc3121"/>
      <w:bookmarkStart w:id="72" w:name="_Toc14379"/>
      <w:bookmarkStart w:id="73" w:name="_Toc1267"/>
      <w:bookmarkStart w:id="74" w:name="_Toc6146"/>
      <w:bookmarkStart w:id="75" w:name="_Toc5261"/>
      <w:bookmarkStart w:id="76" w:name="_Toc482004156"/>
      <w:bookmarkStart w:id="77" w:name="_Toc487650538"/>
      <w:bookmarkStart w:id="78" w:name="_Toc26229"/>
      <w:bookmarkStart w:id="79" w:name="_Toc29079"/>
      <w:bookmarkStart w:id="80" w:name="_Toc32287"/>
      <w:r>
        <w:rPr>
          <w:rFonts w:hint="eastAsia"/>
          <w:highlight w:val="none"/>
        </w:rPr>
        <w:t>1.总  则</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BFC0C72">
      <w:pPr>
        <w:pStyle w:val="5"/>
        <w:ind w:firstLine="562"/>
        <w:rPr>
          <w:highlight w:val="none"/>
        </w:rPr>
      </w:pPr>
      <w:bookmarkStart w:id="81" w:name="_Toc183682342"/>
      <w:bookmarkStart w:id="82" w:name="_Toc183582205"/>
      <w:bookmarkStart w:id="83" w:name="_Toc487650539"/>
      <w:bookmarkStart w:id="84" w:name="_Toc482004157"/>
      <w:bookmarkStart w:id="85" w:name="_Toc217446034"/>
      <w:r>
        <w:rPr>
          <w:rFonts w:hint="eastAsia"/>
          <w:highlight w:val="none"/>
        </w:rPr>
        <w:t>1</w:t>
      </w:r>
      <w:r>
        <w:rPr>
          <w:highlight w:val="none"/>
        </w:rPr>
        <w:t>.</w:t>
      </w:r>
      <w:bookmarkEnd w:id="81"/>
      <w:bookmarkEnd w:id="82"/>
      <w:r>
        <w:rPr>
          <w:rFonts w:hint="eastAsia"/>
          <w:highlight w:val="none"/>
        </w:rPr>
        <w:t>1 适用范围</w:t>
      </w:r>
      <w:bookmarkEnd w:id="83"/>
      <w:bookmarkEnd w:id="84"/>
      <w:bookmarkEnd w:id="85"/>
    </w:p>
    <w:p w14:paraId="32BAB0DF">
      <w:pPr>
        <w:ind w:firstLine="480"/>
        <w:rPr>
          <w:rFonts w:ascii="宋体" w:hAnsi="宋体"/>
          <w:szCs w:val="24"/>
          <w:highlight w:val="none"/>
        </w:rPr>
      </w:pPr>
      <w:r>
        <w:rPr>
          <w:rFonts w:hint="eastAsia" w:ascii="宋体" w:hAnsi="宋体"/>
          <w:szCs w:val="24"/>
          <w:highlight w:val="none"/>
        </w:rPr>
        <w:t>1</w:t>
      </w:r>
      <w:r>
        <w:rPr>
          <w:rFonts w:ascii="宋体" w:hAnsi="宋体"/>
          <w:szCs w:val="24"/>
          <w:highlight w:val="none"/>
        </w:rPr>
        <w:t>.</w:t>
      </w:r>
      <w:r>
        <w:rPr>
          <w:rFonts w:hint="eastAsia" w:ascii="宋体" w:hAnsi="宋体"/>
          <w:szCs w:val="24"/>
          <w:highlight w:val="none"/>
        </w:rPr>
        <w:t>1.1 本比选文件仅适用于本次公开比选所叙述的货物和服务项目。</w:t>
      </w:r>
    </w:p>
    <w:p w14:paraId="5689D184">
      <w:pPr>
        <w:pStyle w:val="5"/>
        <w:ind w:firstLine="562"/>
        <w:rPr>
          <w:highlight w:val="none"/>
        </w:rPr>
      </w:pPr>
      <w:bookmarkStart w:id="86" w:name="_Toc183682343"/>
      <w:bookmarkStart w:id="87" w:name="_Toc183582206"/>
      <w:bookmarkStart w:id="88" w:name="_Toc217446035"/>
      <w:bookmarkStart w:id="89" w:name="_Toc482004158"/>
      <w:bookmarkStart w:id="90" w:name="_Toc487650540"/>
      <w:r>
        <w:rPr>
          <w:rFonts w:hint="eastAsia"/>
          <w:highlight w:val="none"/>
        </w:rPr>
        <w:t>1.</w:t>
      </w:r>
      <w:r>
        <w:rPr>
          <w:highlight w:val="none"/>
        </w:rPr>
        <w:t>2</w:t>
      </w:r>
      <w:bookmarkEnd w:id="86"/>
      <w:bookmarkEnd w:id="87"/>
      <w:r>
        <w:rPr>
          <w:rFonts w:hint="eastAsia"/>
          <w:highlight w:val="none"/>
        </w:rPr>
        <w:t>有关定义</w:t>
      </w:r>
      <w:bookmarkEnd w:id="88"/>
      <w:bookmarkEnd w:id="89"/>
      <w:bookmarkEnd w:id="90"/>
    </w:p>
    <w:p w14:paraId="142DC999">
      <w:pPr>
        <w:ind w:firstLine="480"/>
        <w:rPr>
          <w:rFonts w:ascii="宋体" w:hAnsi="宋体"/>
          <w:szCs w:val="24"/>
          <w:highlight w:val="none"/>
        </w:rPr>
      </w:pPr>
      <w:r>
        <w:rPr>
          <w:rFonts w:hint="eastAsia" w:ascii="宋体" w:hAnsi="宋体"/>
          <w:szCs w:val="24"/>
          <w:highlight w:val="none"/>
        </w:rPr>
        <w:t>1.2</w:t>
      </w:r>
      <w:r>
        <w:rPr>
          <w:rFonts w:ascii="宋体" w:hAnsi="宋体"/>
          <w:szCs w:val="24"/>
          <w:highlight w:val="none"/>
        </w:rPr>
        <w:t>.</w:t>
      </w:r>
      <w:r>
        <w:rPr>
          <w:rFonts w:hint="eastAsia" w:ascii="宋体" w:hAnsi="宋体"/>
          <w:szCs w:val="24"/>
          <w:highlight w:val="none"/>
        </w:rPr>
        <w:t>1本次比选单位是</w:t>
      </w:r>
      <w:r>
        <w:rPr>
          <w:rFonts w:hint="eastAsia" w:hAnsi="宋体"/>
          <w:highlight w:val="none"/>
        </w:rPr>
        <w:t>四川都金山地轨道交通有限责任公司</w:t>
      </w:r>
      <w:r>
        <w:rPr>
          <w:rFonts w:hint="eastAsia" w:ascii="宋体" w:hAnsi="宋体"/>
          <w:szCs w:val="24"/>
          <w:highlight w:val="none"/>
        </w:rPr>
        <w:t>。</w:t>
      </w:r>
    </w:p>
    <w:p w14:paraId="63FB8D0B">
      <w:pPr>
        <w:ind w:firstLine="480"/>
        <w:rPr>
          <w:rFonts w:ascii="宋体" w:hAnsi="宋体"/>
          <w:szCs w:val="24"/>
          <w:highlight w:val="none"/>
        </w:rPr>
      </w:pPr>
      <w:r>
        <w:rPr>
          <w:rFonts w:hint="eastAsia" w:ascii="宋体" w:hAnsi="宋体"/>
          <w:szCs w:val="24"/>
          <w:highlight w:val="none"/>
        </w:rPr>
        <w:t>1.2.2 “比选人</w:t>
      </w:r>
      <w:r>
        <w:rPr>
          <w:rFonts w:ascii="宋体" w:hAnsi="宋体"/>
          <w:szCs w:val="24"/>
          <w:highlight w:val="none"/>
        </w:rPr>
        <w:t>”</w:t>
      </w:r>
      <w:r>
        <w:rPr>
          <w:rFonts w:hint="eastAsia" w:ascii="宋体" w:hAnsi="宋体"/>
          <w:szCs w:val="24"/>
          <w:highlight w:val="none"/>
        </w:rPr>
        <w:t>系指“比选单位”。</w:t>
      </w:r>
    </w:p>
    <w:p w14:paraId="255228A4">
      <w:pPr>
        <w:ind w:firstLine="480"/>
        <w:rPr>
          <w:rFonts w:ascii="宋体" w:hAnsi="宋体"/>
          <w:szCs w:val="24"/>
          <w:highlight w:val="none"/>
        </w:rPr>
      </w:pPr>
      <w:r>
        <w:rPr>
          <w:rFonts w:hint="eastAsia" w:ascii="宋体" w:hAnsi="宋体"/>
          <w:szCs w:val="24"/>
          <w:highlight w:val="none"/>
        </w:rPr>
        <w:t>1.2</w:t>
      </w:r>
      <w:r>
        <w:rPr>
          <w:rFonts w:ascii="宋体" w:hAnsi="宋体"/>
          <w:szCs w:val="24"/>
          <w:highlight w:val="none"/>
        </w:rPr>
        <w:t>.</w:t>
      </w:r>
      <w:r>
        <w:rPr>
          <w:rFonts w:hint="eastAsia" w:ascii="宋体" w:hAnsi="宋体"/>
          <w:szCs w:val="24"/>
          <w:highlight w:val="none"/>
        </w:rPr>
        <w:t>3 “比选申请人”，指向比选人提供货物及相应服务的配送商。</w:t>
      </w:r>
    </w:p>
    <w:p w14:paraId="43A00316">
      <w:pPr>
        <w:pStyle w:val="5"/>
        <w:ind w:firstLine="562"/>
        <w:rPr>
          <w:highlight w:val="none"/>
        </w:rPr>
      </w:pPr>
      <w:bookmarkStart w:id="91" w:name="_Toc183582207"/>
      <w:bookmarkStart w:id="92" w:name="_Toc482004159"/>
      <w:bookmarkStart w:id="93" w:name="_Toc487650541"/>
      <w:bookmarkStart w:id="94" w:name="_Toc217446036"/>
      <w:bookmarkStart w:id="95" w:name="_Toc217390843"/>
      <w:bookmarkStart w:id="96" w:name="_Toc183682344"/>
      <w:r>
        <w:rPr>
          <w:rFonts w:hint="eastAsia"/>
          <w:highlight w:val="none"/>
        </w:rPr>
        <w:t>1.</w:t>
      </w:r>
      <w:r>
        <w:rPr>
          <w:highlight w:val="none"/>
        </w:rPr>
        <w:t>3</w:t>
      </w:r>
      <w:r>
        <w:rPr>
          <w:rFonts w:hint="eastAsia"/>
          <w:highlight w:val="none"/>
        </w:rPr>
        <w:t xml:space="preserve"> 合格的</w:t>
      </w:r>
      <w:bookmarkEnd w:id="91"/>
      <w:bookmarkEnd w:id="92"/>
      <w:bookmarkEnd w:id="93"/>
      <w:bookmarkEnd w:id="94"/>
      <w:bookmarkEnd w:id="95"/>
      <w:bookmarkEnd w:id="96"/>
      <w:r>
        <w:rPr>
          <w:rFonts w:hint="eastAsia"/>
          <w:highlight w:val="none"/>
        </w:rPr>
        <w:t>比选申请人</w:t>
      </w:r>
    </w:p>
    <w:p w14:paraId="25F69350">
      <w:pPr>
        <w:ind w:firstLine="480"/>
        <w:rPr>
          <w:rFonts w:ascii="宋体" w:hAnsi="宋体"/>
          <w:szCs w:val="24"/>
          <w:highlight w:val="none"/>
        </w:rPr>
      </w:pPr>
      <w:r>
        <w:rPr>
          <w:rFonts w:hint="eastAsia" w:ascii="宋体" w:hAnsi="宋体"/>
          <w:szCs w:val="24"/>
          <w:highlight w:val="none"/>
        </w:rPr>
        <w:t>合格的比选申请人应具备以下条件：</w:t>
      </w:r>
    </w:p>
    <w:p w14:paraId="19D0ABF2">
      <w:pPr>
        <w:ind w:firstLine="480"/>
        <w:rPr>
          <w:rFonts w:ascii="宋体" w:hAnsi="宋体"/>
          <w:szCs w:val="24"/>
          <w:highlight w:val="none"/>
        </w:rPr>
      </w:pPr>
      <w:r>
        <w:rPr>
          <w:rFonts w:hint="eastAsia" w:ascii="宋体" w:hAnsi="宋体"/>
          <w:szCs w:val="24"/>
          <w:highlight w:val="none"/>
        </w:rPr>
        <w:t>（1）</w:t>
      </w:r>
      <w:r>
        <w:rPr>
          <w:rFonts w:hint="eastAsia" w:ascii="宋体" w:hAnsi="宋体"/>
          <w:highlight w:val="none"/>
        </w:rPr>
        <w:t>具备“比选公告”第三条的基本条件</w:t>
      </w:r>
      <w:r>
        <w:rPr>
          <w:rFonts w:hint="eastAsia" w:ascii="宋体" w:hAnsi="宋体"/>
          <w:szCs w:val="24"/>
          <w:highlight w:val="none"/>
        </w:rPr>
        <w:t>；</w:t>
      </w:r>
    </w:p>
    <w:p w14:paraId="66953CA3">
      <w:pPr>
        <w:ind w:firstLine="480"/>
        <w:rPr>
          <w:rFonts w:ascii="宋体" w:hAnsi="宋体"/>
          <w:szCs w:val="24"/>
          <w:highlight w:val="none"/>
        </w:rPr>
      </w:pPr>
      <w:r>
        <w:rPr>
          <w:rFonts w:hint="eastAsia" w:ascii="宋体" w:hAnsi="宋体"/>
          <w:szCs w:val="24"/>
          <w:highlight w:val="none"/>
        </w:rPr>
        <w:t>（2）向比选人购买了比选文件并登记备案；</w:t>
      </w:r>
    </w:p>
    <w:p w14:paraId="5963B7C1">
      <w:pPr>
        <w:ind w:firstLine="480"/>
        <w:rPr>
          <w:rFonts w:ascii="宋体" w:hAnsi="宋体"/>
          <w:szCs w:val="24"/>
          <w:highlight w:val="none"/>
        </w:rPr>
      </w:pPr>
      <w:r>
        <w:rPr>
          <w:rFonts w:hint="eastAsia" w:ascii="宋体" w:hAnsi="宋体"/>
          <w:szCs w:val="24"/>
          <w:highlight w:val="none"/>
        </w:rPr>
        <w:t>（3）遵守国家有关的法律、法规和条例；</w:t>
      </w:r>
    </w:p>
    <w:p w14:paraId="613ACD53">
      <w:pPr>
        <w:ind w:firstLine="480"/>
        <w:rPr>
          <w:rFonts w:ascii="宋体" w:hAnsi="宋体"/>
          <w:szCs w:val="24"/>
          <w:highlight w:val="none"/>
        </w:rPr>
      </w:pPr>
      <w:r>
        <w:rPr>
          <w:rFonts w:hint="eastAsia" w:ascii="宋体" w:hAnsi="宋体"/>
          <w:szCs w:val="24"/>
          <w:highlight w:val="none"/>
        </w:rPr>
        <w:t>（4）比选文件和法律、行政法规规定的其他条件。</w:t>
      </w:r>
    </w:p>
    <w:p w14:paraId="60284C9B">
      <w:pPr>
        <w:pStyle w:val="5"/>
        <w:ind w:firstLine="562"/>
        <w:rPr>
          <w:highlight w:val="none"/>
        </w:rPr>
      </w:pPr>
      <w:bookmarkStart w:id="97" w:name="_Toc487650542"/>
      <w:bookmarkStart w:id="98" w:name="_Toc183582208"/>
      <w:bookmarkStart w:id="99" w:name="_Toc217446037"/>
      <w:bookmarkStart w:id="100" w:name="_Toc183682345"/>
      <w:bookmarkStart w:id="101" w:name="_Toc482004160"/>
      <w:r>
        <w:rPr>
          <w:rFonts w:hint="eastAsia"/>
          <w:highlight w:val="none"/>
        </w:rPr>
        <w:t>1.4 比选申请费用</w:t>
      </w:r>
      <w:bookmarkEnd w:id="97"/>
      <w:bookmarkEnd w:id="98"/>
      <w:bookmarkEnd w:id="99"/>
      <w:bookmarkEnd w:id="100"/>
      <w:bookmarkEnd w:id="101"/>
    </w:p>
    <w:p w14:paraId="23BB901C">
      <w:pPr>
        <w:ind w:firstLine="480"/>
        <w:rPr>
          <w:rFonts w:ascii="宋体" w:hAnsi="宋体"/>
          <w:szCs w:val="24"/>
          <w:highlight w:val="none"/>
        </w:rPr>
      </w:pPr>
      <w:r>
        <w:rPr>
          <w:rFonts w:hint="eastAsia" w:ascii="宋体" w:hAnsi="宋体"/>
          <w:szCs w:val="24"/>
          <w:highlight w:val="none"/>
        </w:rPr>
        <w:t>比选申请人参加比选申请的有关费用由比选申请人自行承担。</w:t>
      </w:r>
    </w:p>
    <w:p w14:paraId="3B20FCA0">
      <w:pPr>
        <w:pStyle w:val="5"/>
        <w:ind w:firstLine="562"/>
        <w:rPr>
          <w:highlight w:val="none"/>
        </w:rPr>
      </w:pPr>
      <w:bookmarkStart w:id="102" w:name="_Toc487650543"/>
      <w:r>
        <w:rPr>
          <w:rFonts w:hint="eastAsia"/>
          <w:highlight w:val="none"/>
        </w:rPr>
        <w:t>1.5 保密</w:t>
      </w:r>
      <w:bookmarkEnd w:id="102"/>
    </w:p>
    <w:p w14:paraId="13C4A2F8">
      <w:pPr>
        <w:ind w:firstLine="480"/>
        <w:rPr>
          <w:rFonts w:ascii="宋体" w:hAnsi="宋体"/>
          <w:szCs w:val="24"/>
          <w:highlight w:val="none"/>
        </w:rPr>
      </w:pPr>
      <w:r>
        <w:rPr>
          <w:rFonts w:hint="eastAsia" w:ascii="宋体" w:hAnsi="宋体"/>
          <w:szCs w:val="24"/>
          <w:highlight w:val="none"/>
        </w:rPr>
        <w:t>参与比选比选申请活动的各方应对比选文件和比选申请文件中的商业和技术等秘密保密，违者应对由此造成的后果承担法律责任。</w:t>
      </w:r>
    </w:p>
    <w:p w14:paraId="7D35E41E">
      <w:pPr>
        <w:pStyle w:val="5"/>
        <w:ind w:firstLine="562"/>
        <w:rPr>
          <w:highlight w:val="none"/>
        </w:rPr>
      </w:pPr>
      <w:bookmarkStart w:id="103" w:name="_Toc487650544"/>
      <w:r>
        <w:rPr>
          <w:rFonts w:hint="eastAsia"/>
          <w:highlight w:val="none"/>
        </w:rPr>
        <w:t>1.6 语言文字</w:t>
      </w:r>
      <w:bookmarkEnd w:id="103"/>
    </w:p>
    <w:p w14:paraId="1F473920">
      <w:pPr>
        <w:ind w:firstLine="480"/>
        <w:rPr>
          <w:rFonts w:ascii="宋体" w:hAnsi="宋体"/>
          <w:szCs w:val="24"/>
          <w:highlight w:val="none"/>
        </w:rPr>
      </w:pPr>
      <w:r>
        <w:rPr>
          <w:rFonts w:hint="eastAsia" w:ascii="宋体" w:hAnsi="宋体"/>
          <w:szCs w:val="24"/>
          <w:highlight w:val="none"/>
        </w:rPr>
        <w:t>除专用术语外，与比选比选申请有关的语言均使用中文。必要时专用术语应附有中文注释。</w:t>
      </w:r>
    </w:p>
    <w:p w14:paraId="78E3CD45">
      <w:pPr>
        <w:pStyle w:val="5"/>
        <w:ind w:firstLine="562"/>
        <w:rPr>
          <w:highlight w:val="none"/>
        </w:rPr>
      </w:pPr>
      <w:bookmarkStart w:id="104" w:name="_Toc487650545"/>
      <w:r>
        <w:rPr>
          <w:rFonts w:hint="eastAsia"/>
          <w:highlight w:val="none"/>
        </w:rPr>
        <w:t>1.7计量单位</w:t>
      </w:r>
      <w:bookmarkEnd w:id="104"/>
    </w:p>
    <w:p w14:paraId="263C90E8">
      <w:pPr>
        <w:ind w:firstLine="480"/>
        <w:rPr>
          <w:rFonts w:ascii="宋体" w:hAnsi="宋体"/>
          <w:szCs w:val="24"/>
          <w:highlight w:val="none"/>
        </w:rPr>
      </w:pPr>
      <w:r>
        <w:rPr>
          <w:rFonts w:hint="eastAsia" w:ascii="宋体" w:hAnsi="宋体"/>
          <w:szCs w:val="24"/>
          <w:highlight w:val="none"/>
        </w:rPr>
        <w:t>所有计量均采用中华人民共和国法定计量单位。</w:t>
      </w:r>
    </w:p>
    <w:p w14:paraId="08157BEA">
      <w:pPr>
        <w:pStyle w:val="5"/>
        <w:ind w:firstLine="562"/>
        <w:rPr>
          <w:highlight w:val="none"/>
        </w:rPr>
      </w:pPr>
      <w:bookmarkStart w:id="105" w:name="_Toc487650546"/>
      <w:bookmarkStart w:id="106" w:name="_Toc482004161"/>
      <w:r>
        <w:rPr>
          <w:rFonts w:hint="eastAsia"/>
          <w:highlight w:val="none"/>
        </w:rPr>
        <w:t>1.8比选申请货币</w:t>
      </w:r>
      <w:bookmarkEnd w:id="105"/>
      <w:bookmarkEnd w:id="106"/>
    </w:p>
    <w:p w14:paraId="54480D00">
      <w:pPr>
        <w:ind w:firstLine="480"/>
        <w:rPr>
          <w:rFonts w:ascii="宋体" w:hAnsi="宋体"/>
          <w:szCs w:val="24"/>
          <w:highlight w:val="none"/>
        </w:rPr>
      </w:pPr>
      <w:r>
        <w:rPr>
          <w:rFonts w:hint="eastAsia" w:ascii="宋体" w:hAnsi="宋体"/>
          <w:szCs w:val="24"/>
          <w:highlight w:val="none"/>
        </w:rPr>
        <w:t>本次比选项目的比选申请均以人民币报价。</w:t>
      </w:r>
    </w:p>
    <w:p w14:paraId="1E37E6DE">
      <w:pPr>
        <w:pStyle w:val="5"/>
        <w:ind w:firstLine="562"/>
        <w:rPr>
          <w:highlight w:val="none"/>
        </w:rPr>
      </w:pPr>
      <w:bookmarkStart w:id="107" w:name="_Toc217446047"/>
      <w:bookmarkStart w:id="108" w:name="_Toc482004162"/>
      <w:bookmarkStart w:id="109" w:name="_Toc487650547"/>
      <w:r>
        <w:rPr>
          <w:rFonts w:hint="eastAsia"/>
          <w:highlight w:val="none"/>
        </w:rPr>
        <w:t>1.9知识产权</w:t>
      </w:r>
      <w:bookmarkEnd w:id="107"/>
      <w:bookmarkEnd w:id="108"/>
      <w:bookmarkEnd w:id="109"/>
    </w:p>
    <w:p w14:paraId="61E925A9">
      <w:pPr>
        <w:ind w:firstLine="480"/>
        <w:rPr>
          <w:rFonts w:ascii="宋体" w:hAnsi="宋体"/>
          <w:szCs w:val="24"/>
          <w:highlight w:val="none"/>
        </w:rPr>
      </w:pPr>
      <w:r>
        <w:rPr>
          <w:rFonts w:hint="eastAsia" w:ascii="宋体" w:hAnsi="宋体"/>
          <w:szCs w:val="24"/>
          <w:highlight w:val="none"/>
        </w:rPr>
        <w:t>1.9.1比选申请人应保证在本项目使用的任何产品和服务（包括部分使用）时，不会产生因第三方提出侵犯其专利权、商标权或其它知识产权而引起的法律和经济纠纷，如因专利权、商标权或其它知识产权而引起法律和经济纠纷，由比选申请人承担所有相关责任。</w:t>
      </w:r>
    </w:p>
    <w:p w14:paraId="4712492F">
      <w:pPr>
        <w:ind w:firstLine="480"/>
        <w:rPr>
          <w:rFonts w:ascii="宋体" w:hAnsi="宋体"/>
          <w:szCs w:val="24"/>
          <w:highlight w:val="none"/>
        </w:rPr>
      </w:pPr>
      <w:r>
        <w:rPr>
          <w:rFonts w:hint="eastAsia" w:ascii="宋体" w:hAnsi="宋体"/>
          <w:szCs w:val="24"/>
          <w:highlight w:val="none"/>
        </w:rPr>
        <w:t>1.9</w:t>
      </w:r>
      <w:r>
        <w:rPr>
          <w:rFonts w:ascii="宋体" w:hAnsi="宋体"/>
          <w:szCs w:val="24"/>
          <w:highlight w:val="none"/>
        </w:rPr>
        <w:t>.2</w:t>
      </w:r>
      <w:r>
        <w:rPr>
          <w:rFonts w:hint="eastAsia" w:ascii="宋体" w:hAnsi="宋体"/>
          <w:szCs w:val="24"/>
          <w:highlight w:val="none"/>
        </w:rPr>
        <w:t xml:space="preserve"> 比选人享有本项目实施过程中产生的知识成果及知识产权。</w:t>
      </w:r>
    </w:p>
    <w:p w14:paraId="2E1CFCE3">
      <w:pPr>
        <w:ind w:firstLine="480"/>
        <w:rPr>
          <w:rFonts w:ascii="宋体" w:hAnsi="宋体"/>
          <w:szCs w:val="24"/>
          <w:highlight w:val="none"/>
        </w:rPr>
      </w:pPr>
      <w:r>
        <w:rPr>
          <w:rFonts w:hint="eastAsia" w:ascii="宋体" w:hAnsi="宋体"/>
          <w:szCs w:val="24"/>
          <w:highlight w:val="none"/>
        </w:rPr>
        <w:t>1.9</w:t>
      </w:r>
      <w:r>
        <w:rPr>
          <w:rFonts w:ascii="宋体" w:hAnsi="宋体"/>
          <w:szCs w:val="24"/>
          <w:highlight w:val="none"/>
        </w:rPr>
        <w:t>.3</w:t>
      </w:r>
      <w:r>
        <w:rPr>
          <w:rFonts w:hint="eastAsia" w:ascii="宋体" w:hAnsi="宋体"/>
          <w:szCs w:val="24"/>
          <w:highlight w:val="none"/>
        </w:rPr>
        <w:t xml:space="preserve"> 比选申请人如欲在项目实施过程中采用自有知识成果，需在比选申请文件中声明，并提供相关知识产权证明文件。使用该知识成果后，比选申请人需提供开发接口和开发手册等技术文档，并承诺提供无限期技术支持，比选人享有永久使用权。</w:t>
      </w:r>
    </w:p>
    <w:p w14:paraId="440A3DF9">
      <w:pPr>
        <w:ind w:firstLine="480"/>
        <w:rPr>
          <w:rFonts w:ascii="宋体" w:hAnsi="宋体"/>
          <w:szCs w:val="24"/>
          <w:highlight w:val="none"/>
        </w:rPr>
      </w:pPr>
      <w:r>
        <w:rPr>
          <w:rFonts w:hint="eastAsia" w:ascii="宋体" w:hAnsi="宋体"/>
          <w:szCs w:val="24"/>
          <w:highlight w:val="none"/>
        </w:rPr>
        <w:t>1.9</w:t>
      </w:r>
      <w:r>
        <w:rPr>
          <w:rFonts w:ascii="宋体" w:hAnsi="宋体"/>
          <w:szCs w:val="24"/>
          <w:highlight w:val="none"/>
        </w:rPr>
        <w:t>.4</w:t>
      </w:r>
      <w:r>
        <w:rPr>
          <w:rFonts w:hint="eastAsia" w:ascii="宋体" w:hAnsi="宋体"/>
          <w:szCs w:val="24"/>
          <w:highlight w:val="none"/>
        </w:rPr>
        <w:t xml:space="preserve"> 如采用比选申请人所不拥有的知识产权，则在比选申请报价中必须包括合法获取该知识产权的相关费用。</w:t>
      </w:r>
    </w:p>
    <w:p w14:paraId="5191D153">
      <w:pPr>
        <w:pStyle w:val="5"/>
        <w:ind w:firstLine="562"/>
        <w:rPr>
          <w:highlight w:val="none"/>
        </w:rPr>
      </w:pPr>
      <w:bookmarkStart w:id="110" w:name="_Toc487650548"/>
      <w:r>
        <w:rPr>
          <w:rFonts w:hint="eastAsia"/>
          <w:highlight w:val="none"/>
        </w:rPr>
        <w:t>1.10比选申请预备会</w:t>
      </w:r>
      <w:bookmarkEnd w:id="110"/>
    </w:p>
    <w:p w14:paraId="1C10C129">
      <w:pPr>
        <w:tabs>
          <w:tab w:val="left" w:pos="7665"/>
        </w:tabs>
        <w:ind w:firstLine="480"/>
        <w:rPr>
          <w:highlight w:val="none"/>
        </w:rPr>
      </w:pPr>
      <w:r>
        <w:rPr>
          <w:rFonts w:hint="eastAsia"/>
          <w:highlight w:val="none"/>
        </w:rPr>
        <w:t>不召开</w:t>
      </w:r>
    </w:p>
    <w:p w14:paraId="1492E18B">
      <w:pPr>
        <w:pStyle w:val="5"/>
        <w:ind w:firstLine="562"/>
        <w:rPr>
          <w:highlight w:val="none"/>
        </w:rPr>
      </w:pPr>
      <w:bookmarkStart w:id="111" w:name="_Toc487650549"/>
      <w:r>
        <w:rPr>
          <w:rFonts w:hint="eastAsia"/>
          <w:highlight w:val="none"/>
        </w:rPr>
        <w:t>1.11分包</w:t>
      </w:r>
      <w:bookmarkEnd w:id="111"/>
    </w:p>
    <w:p w14:paraId="6592B3D0">
      <w:pPr>
        <w:tabs>
          <w:tab w:val="left" w:pos="7665"/>
        </w:tabs>
        <w:ind w:firstLine="480"/>
        <w:rPr>
          <w:highlight w:val="none"/>
        </w:rPr>
      </w:pPr>
      <w:r>
        <w:rPr>
          <w:rFonts w:hint="eastAsia"/>
          <w:highlight w:val="none"/>
        </w:rPr>
        <w:t>详见比选申请须知前附表</w:t>
      </w:r>
    </w:p>
    <w:p w14:paraId="02EF89B0">
      <w:pPr>
        <w:pStyle w:val="3"/>
        <w:rPr>
          <w:highlight w:val="none"/>
        </w:rPr>
      </w:pPr>
      <w:bookmarkStart w:id="112" w:name="_Toc26669"/>
      <w:bookmarkStart w:id="113" w:name="_Toc217446038"/>
      <w:bookmarkStart w:id="114" w:name="_Toc10436"/>
      <w:bookmarkStart w:id="115" w:name="_Toc18937"/>
      <w:bookmarkStart w:id="116" w:name="_Toc19636"/>
      <w:bookmarkStart w:id="117" w:name="_Toc487650550"/>
      <w:bookmarkStart w:id="118" w:name="_Toc77400779"/>
      <w:bookmarkStart w:id="119" w:name="_Toc21514"/>
      <w:bookmarkStart w:id="120" w:name="_Toc19367"/>
      <w:bookmarkStart w:id="121" w:name="_Toc8948"/>
      <w:bookmarkStart w:id="122" w:name="_Toc482004163"/>
      <w:bookmarkStart w:id="123" w:name="_Toc9806"/>
      <w:bookmarkStart w:id="124" w:name="_Toc89075875"/>
      <w:bookmarkStart w:id="125" w:name="_Toc13749"/>
      <w:bookmarkStart w:id="126" w:name="_Toc183682346"/>
      <w:bookmarkStart w:id="127" w:name="_Toc183582209"/>
      <w:r>
        <w:rPr>
          <w:rFonts w:hint="eastAsia"/>
          <w:highlight w:val="none"/>
        </w:rPr>
        <w:t>2.比选文件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43776C9">
      <w:pPr>
        <w:pStyle w:val="5"/>
        <w:ind w:firstLine="562"/>
        <w:rPr>
          <w:highlight w:val="none"/>
        </w:rPr>
      </w:pPr>
      <w:bookmarkStart w:id="128" w:name="_Toc183582210"/>
      <w:bookmarkStart w:id="129" w:name="_Toc217446039"/>
      <w:bookmarkStart w:id="130" w:name="_Toc482004164"/>
      <w:bookmarkStart w:id="131" w:name="_Toc487650551"/>
      <w:bookmarkStart w:id="132" w:name="_Toc183682347"/>
      <w:r>
        <w:rPr>
          <w:rFonts w:hint="eastAsia"/>
          <w:highlight w:val="none"/>
        </w:rPr>
        <w:t>2.1比选文件的构成</w:t>
      </w:r>
      <w:bookmarkEnd w:id="128"/>
      <w:bookmarkEnd w:id="129"/>
      <w:bookmarkEnd w:id="130"/>
      <w:bookmarkEnd w:id="131"/>
      <w:bookmarkEnd w:id="132"/>
    </w:p>
    <w:p w14:paraId="6EAE89E2">
      <w:pPr>
        <w:tabs>
          <w:tab w:val="left" w:pos="7665"/>
        </w:tabs>
        <w:ind w:firstLine="480"/>
        <w:rPr>
          <w:highlight w:val="none"/>
        </w:rPr>
      </w:pPr>
      <w:r>
        <w:rPr>
          <w:rFonts w:hint="eastAsia"/>
          <w:highlight w:val="none"/>
        </w:rPr>
        <w:t>2.1.1比选文件用以阐明比选项目所需的资质、技术、服务及报价等要求、比选比选申请程序、有关规定和注意事项以及合同主要条款等。本比选文件包括以下内容：</w:t>
      </w:r>
    </w:p>
    <w:p w14:paraId="6D56495D">
      <w:pPr>
        <w:tabs>
          <w:tab w:val="left" w:pos="7665"/>
        </w:tabs>
        <w:ind w:firstLine="480"/>
        <w:rPr>
          <w:rFonts w:ascii="宋体" w:hAnsi="宋体"/>
          <w:szCs w:val="24"/>
          <w:highlight w:val="none"/>
        </w:rPr>
      </w:pPr>
      <w:r>
        <w:rPr>
          <w:rFonts w:hint="eastAsia" w:ascii="宋体" w:hAnsi="宋体"/>
          <w:szCs w:val="24"/>
          <w:highlight w:val="none"/>
        </w:rPr>
        <w:t>第一章 比选公告</w:t>
      </w:r>
    </w:p>
    <w:p w14:paraId="3C4439B1">
      <w:pPr>
        <w:tabs>
          <w:tab w:val="left" w:pos="7665"/>
        </w:tabs>
        <w:ind w:firstLine="480"/>
        <w:rPr>
          <w:rFonts w:ascii="宋体" w:hAnsi="宋体"/>
          <w:szCs w:val="24"/>
          <w:highlight w:val="none"/>
        </w:rPr>
      </w:pPr>
      <w:r>
        <w:rPr>
          <w:rFonts w:hint="eastAsia" w:ascii="宋体" w:hAnsi="宋体"/>
          <w:szCs w:val="24"/>
          <w:highlight w:val="none"/>
        </w:rPr>
        <w:t>第二章 比选需求</w:t>
      </w:r>
    </w:p>
    <w:p w14:paraId="3245FCB0">
      <w:pPr>
        <w:tabs>
          <w:tab w:val="left" w:pos="7665"/>
        </w:tabs>
        <w:ind w:firstLine="480"/>
        <w:rPr>
          <w:rFonts w:ascii="宋体" w:hAnsi="宋体"/>
          <w:szCs w:val="24"/>
          <w:highlight w:val="none"/>
        </w:rPr>
      </w:pPr>
      <w:r>
        <w:rPr>
          <w:rFonts w:hint="eastAsia" w:ascii="宋体" w:hAnsi="宋体"/>
          <w:szCs w:val="24"/>
          <w:highlight w:val="none"/>
        </w:rPr>
        <w:t>第三章 比选申请人须知</w:t>
      </w:r>
    </w:p>
    <w:p w14:paraId="4C26CDB4">
      <w:pPr>
        <w:tabs>
          <w:tab w:val="left" w:pos="7665"/>
        </w:tabs>
        <w:ind w:firstLine="480"/>
        <w:rPr>
          <w:rFonts w:ascii="宋体" w:hAnsi="宋体"/>
          <w:szCs w:val="24"/>
          <w:highlight w:val="none"/>
        </w:rPr>
      </w:pPr>
      <w:r>
        <w:rPr>
          <w:rFonts w:hint="eastAsia" w:ascii="宋体" w:hAnsi="宋体"/>
          <w:szCs w:val="24"/>
          <w:highlight w:val="none"/>
        </w:rPr>
        <w:t>第四章 比选办法</w:t>
      </w:r>
    </w:p>
    <w:p w14:paraId="089B20B9">
      <w:pPr>
        <w:tabs>
          <w:tab w:val="left" w:pos="7665"/>
        </w:tabs>
        <w:ind w:firstLine="480"/>
        <w:rPr>
          <w:rFonts w:ascii="宋体" w:hAnsi="宋体"/>
          <w:szCs w:val="24"/>
          <w:highlight w:val="none"/>
        </w:rPr>
      </w:pPr>
      <w:r>
        <w:rPr>
          <w:rFonts w:hint="eastAsia" w:ascii="宋体" w:hAnsi="宋体"/>
          <w:szCs w:val="24"/>
          <w:highlight w:val="none"/>
        </w:rPr>
        <w:t>第五章 合同条款及格式</w:t>
      </w:r>
    </w:p>
    <w:p w14:paraId="537998F4">
      <w:pPr>
        <w:tabs>
          <w:tab w:val="left" w:pos="7665"/>
        </w:tabs>
        <w:ind w:firstLine="480"/>
        <w:rPr>
          <w:rFonts w:ascii="宋体" w:hAnsi="宋体"/>
          <w:szCs w:val="24"/>
          <w:highlight w:val="none"/>
        </w:rPr>
      </w:pPr>
      <w:r>
        <w:rPr>
          <w:rFonts w:hint="eastAsia" w:ascii="宋体" w:hAnsi="宋体"/>
          <w:szCs w:val="24"/>
          <w:highlight w:val="none"/>
        </w:rPr>
        <w:t>第六章 比选申请文件格式</w:t>
      </w:r>
    </w:p>
    <w:p w14:paraId="2F936068">
      <w:pPr>
        <w:tabs>
          <w:tab w:val="left" w:pos="7665"/>
        </w:tabs>
        <w:ind w:firstLine="480"/>
        <w:rPr>
          <w:rFonts w:ascii="宋体" w:hAnsi="宋体"/>
          <w:szCs w:val="24"/>
          <w:highlight w:val="none"/>
        </w:rPr>
      </w:pPr>
      <w:r>
        <w:rPr>
          <w:rFonts w:hint="eastAsia" w:ascii="宋体" w:hAnsi="宋体"/>
          <w:szCs w:val="24"/>
          <w:highlight w:val="none"/>
        </w:rPr>
        <w:t>2</w:t>
      </w:r>
      <w:r>
        <w:rPr>
          <w:rFonts w:hint="eastAsia" w:ascii="宋体" w:hAnsi="宋体"/>
          <w:bCs/>
          <w:szCs w:val="24"/>
          <w:highlight w:val="none"/>
        </w:rPr>
        <w:t>.1.</w:t>
      </w:r>
      <w:r>
        <w:rPr>
          <w:rFonts w:hint="eastAsia" w:ascii="宋体" w:hAnsi="宋体"/>
          <w:szCs w:val="24"/>
          <w:highlight w:val="none"/>
        </w:rPr>
        <w:t>2 比选申请人应认真阅读和充分理解比选文件中所有的事项、格式条款和规范要求。比选申请人没有对比选文件全面做出实质性响应是比选申请人的风险。没有按照比选文件要求做出实质性响应的比选申请文件将被拒绝。</w:t>
      </w:r>
    </w:p>
    <w:p w14:paraId="62EBCEF5">
      <w:pPr>
        <w:pStyle w:val="5"/>
        <w:ind w:firstLine="562"/>
        <w:rPr>
          <w:highlight w:val="none"/>
        </w:rPr>
      </w:pPr>
      <w:bookmarkStart w:id="133" w:name="_Toc183682348"/>
      <w:bookmarkStart w:id="134" w:name="_Toc183582211"/>
      <w:bookmarkStart w:id="135" w:name="_Toc482004165"/>
      <w:bookmarkStart w:id="136" w:name="_Toc217446040"/>
      <w:bookmarkStart w:id="137" w:name="_Toc487650552"/>
      <w:r>
        <w:rPr>
          <w:rFonts w:hint="eastAsia"/>
          <w:highlight w:val="none"/>
        </w:rPr>
        <w:t>2.2比选文件的澄清</w:t>
      </w:r>
      <w:bookmarkEnd w:id="133"/>
      <w:bookmarkEnd w:id="134"/>
      <w:r>
        <w:rPr>
          <w:rFonts w:hint="eastAsia"/>
          <w:highlight w:val="none"/>
        </w:rPr>
        <w:t>和修改</w:t>
      </w:r>
      <w:bookmarkEnd w:id="135"/>
      <w:bookmarkEnd w:id="136"/>
      <w:bookmarkEnd w:id="137"/>
    </w:p>
    <w:p w14:paraId="3F99D13A">
      <w:pPr>
        <w:tabs>
          <w:tab w:val="left" w:pos="720"/>
        </w:tabs>
        <w:ind w:firstLine="480"/>
        <w:rPr>
          <w:rFonts w:ascii="宋体" w:hAnsi="宋体"/>
          <w:szCs w:val="24"/>
          <w:highlight w:val="none"/>
        </w:rPr>
      </w:pPr>
      <w:r>
        <w:rPr>
          <w:rFonts w:hint="eastAsia" w:ascii="宋体" w:hAnsi="宋体"/>
          <w:szCs w:val="24"/>
          <w:highlight w:val="none"/>
        </w:rPr>
        <w:t>2.2</w:t>
      </w:r>
      <w:r>
        <w:rPr>
          <w:rFonts w:ascii="宋体" w:hAnsi="宋体"/>
          <w:szCs w:val="24"/>
          <w:highlight w:val="none"/>
        </w:rPr>
        <w:t>.1</w:t>
      </w:r>
      <w:r>
        <w:rPr>
          <w:rFonts w:hint="eastAsia" w:ascii="宋体" w:hAnsi="宋体"/>
          <w:szCs w:val="24"/>
          <w:highlight w:val="none"/>
        </w:rPr>
        <w:t xml:space="preserve"> 在比选申请截止时间前，比选人无论出于何种原因，可以对比选文件进行澄清或者修改。</w:t>
      </w:r>
    </w:p>
    <w:p w14:paraId="39895B0F">
      <w:pPr>
        <w:ind w:firstLine="480"/>
        <w:rPr>
          <w:rFonts w:ascii="宋体" w:hAnsi="宋体"/>
          <w:szCs w:val="24"/>
          <w:highlight w:val="none"/>
        </w:rPr>
      </w:pPr>
      <w:r>
        <w:rPr>
          <w:rFonts w:hint="eastAsia" w:ascii="宋体" w:hAnsi="宋体"/>
          <w:szCs w:val="24"/>
          <w:highlight w:val="none"/>
        </w:rPr>
        <w:t>2.2</w:t>
      </w:r>
      <w:r>
        <w:rPr>
          <w:rFonts w:ascii="宋体" w:hAnsi="宋体"/>
          <w:szCs w:val="24"/>
          <w:highlight w:val="none"/>
        </w:rPr>
        <w:t>.2</w:t>
      </w:r>
      <w:r>
        <w:rPr>
          <w:rFonts w:hint="eastAsia" w:ascii="宋体" w:hAnsi="宋体"/>
          <w:szCs w:val="24"/>
          <w:highlight w:val="none"/>
        </w:rPr>
        <w:t xml:space="preserve"> 比选人对已发出的比选文件进行澄清或者修改，将在比选文件要求的提交比选申请文件截止时间</w:t>
      </w:r>
      <w:r>
        <w:rPr>
          <w:rFonts w:hint="eastAsia" w:ascii="宋体" w:hAnsi="宋体"/>
          <w:szCs w:val="24"/>
          <w:highlight w:val="none"/>
          <w:lang w:val="en-US" w:eastAsia="zh-CN"/>
        </w:rPr>
        <w:t>5</w:t>
      </w:r>
      <w:r>
        <w:rPr>
          <w:rFonts w:hint="eastAsia" w:ascii="宋体" w:hAnsi="宋体"/>
          <w:szCs w:val="24"/>
          <w:highlight w:val="none"/>
        </w:rPr>
        <w:t>日前进行，并以书面形式将澄清或者修改的内容通知所有购买了比选文件的比选申请人，同时在蜀道新制式轨道集团官方网站</w:t>
      </w:r>
      <w:r>
        <w:rPr>
          <w:rFonts w:hint="eastAsia" w:ascii="宋体" w:hAnsi="宋体" w:eastAsia="宋体" w:cs="Times New Roman"/>
          <w:szCs w:val="24"/>
          <w:highlight w:val="none"/>
        </w:rPr>
        <w:t>https://shudaogdjt.com/</w:t>
      </w:r>
      <w:r>
        <w:rPr>
          <w:rFonts w:hint="eastAsia" w:ascii="宋体" w:hAnsi="宋体"/>
          <w:szCs w:val="24"/>
          <w:highlight w:val="none"/>
        </w:rPr>
        <w:t>上发布更正公告。该澄清或者修改的内容为比选文件的组成部分。</w:t>
      </w:r>
    </w:p>
    <w:p w14:paraId="073902FE">
      <w:pPr>
        <w:ind w:firstLine="480"/>
        <w:rPr>
          <w:rFonts w:ascii="宋体" w:hAnsi="宋体"/>
          <w:szCs w:val="24"/>
          <w:highlight w:val="none"/>
        </w:rPr>
      </w:pPr>
      <w:r>
        <w:rPr>
          <w:rFonts w:hint="eastAsia" w:ascii="宋体" w:hAnsi="宋体"/>
          <w:szCs w:val="24"/>
          <w:highlight w:val="none"/>
        </w:rPr>
        <w:t>2.2</w:t>
      </w:r>
      <w:r>
        <w:rPr>
          <w:rFonts w:ascii="宋体" w:hAnsi="宋体"/>
          <w:b/>
          <w:bCs/>
          <w:szCs w:val="24"/>
          <w:highlight w:val="none"/>
        </w:rPr>
        <w:t>.</w:t>
      </w:r>
      <w:r>
        <w:rPr>
          <w:rFonts w:hint="eastAsia" w:ascii="宋体" w:hAnsi="宋体"/>
          <w:szCs w:val="24"/>
          <w:highlight w:val="none"/>
        </w:rPr>
        <w:t>3 比选申请人要求对比选文件进行澄清的，均应在比选申请截止日16天前按比选文件中的联系方式，以书面形式通知比选人。</w:t>
      </w:r>
    </w:p>
    <w:p w14:paraId="09DFC106">
      <w:pPr>
        <w:ind w:firstLine="480"/>
        <w:rPr>
          <w:rFonts w:ascii="宋体" w:hAnsi="宋体"/>
          <w:szCs w:val="24"/>
          <w:highlight w:val="none"/>
        </w:rPr>
      </w:pPr>
      <w:r>
        <w:rPr>
          <w:rFonts w:hint="eastAsia" w:ascii="宋体" w:hAnsi="宋体"/>
          <w:szCs w:val="24"/>
          <w:highlight w:val="none"/>
        </w:rPr>
        <w:t>2.2.4 在比选申请截止时间前，比选人可以视具体情况，延长比选申请截止时间和开标时间，并在比选文件要求提交比选申请文件的截止日之前，将变更时间以书面形式通知所有购买了比选文件的比选申请人，同时在蜀道新制式轨道集团官方网站https://shudaogdjt.com/上发布变更公告。</w:t>
      </w:r>
    </w:p>
    <w:p w14:paraId="0C5EA5E4">
      <w:pPr>
        <w:pStyle w:val="5"/>
        <w:ind w:firstLine="562"/>
        <w:rPr>
          <w:highlight w:val="none"/>
        </w:rPr>
      </w:pPr>
      <w:bookmarkStart w:id="138" w:name="_Toc487650553"/>
      <w:bookmarkStart w:id="139" w:name="_Toc217446041"/>
      <w:bookmarkStart w:id="140" w:name="_Toc482004166"/>
      <w:bookmarkStart w:id="141" w:name="_Toc208848971"/>
      <w:r>
        <w:rPr>
          <w:rFonts w:hint="eastAsia"/>
          <w:highlight w:val="none"/>
        </w:rPr>
        <w:t>2.3 答疑会和现场考察</w:t>
      </w:r>
      <w:bookmarkEnd w:id="138"/>
      <w:bookmarkEnd w:id="139"/>
      <w:bookmarkEnd w:id="140"/>
      <w:bookmarkEnd w:id="141"/>
    </w:p>
    <w:p w14:paraId="1030060E">
      <w:pPr>
        <w:ind w:firstLine="480"/>
        <w:rPr>
          <w:b/>
          <w:highlight w:val="none"/>
        </w:rPr>
      </w:pPr>
      <w:bookmarkStart w:id="142" w:name="_Toc487650554"/>
      <w:bookmarkStart w:id="143" w:name="_Toc183582214"/>
      <w:bookmarkStart w:id="144" w:name="_Toc89075876"/>
      <w:bookmarkStart w:id="145" w:name="_Toc183682351"/>
      <w:bookmarkStart w:id="146" w:name="_Toc217446042"/>
      <w:bookmarkStart w:id="147" w:name="_Toc482004167"/>
      <w:bookmarkStart w:id="148" w:name="_Toc77400780"/>
      <w:r>
        <w:rPr>
          <w:rFonts w:hint="eastAsia"/>
          <w:highlight w:val="none"/>
        </w:rPr>
        <w:t>本次比选，比选人不组织答疑会和现场考察。比选申请人自行现场考察，所发生的一切费用及安全责任由比选申请人自行承担。</w:t>
      </w:r>
      <w:bookmarkEnd w:id="142"/>
    </w:p>
    <w:p w14:paraId="23840388">
      <w:pPr>
        <w:pStyle w:val="3"/>
        <w:rPr>
          <w:highlight w:val="none"/>
        </w:rPr>
      </w:pPr>
      <w:bookmarkStart w:id="149" w:name="_Toc1839"/>
      <w:bookmarkStart w:id="150" w:name="_Toc9373"/>
      <w:bookmarkStart w:id="151" w:name="_Toc2362"/>
      <w:bookmarkStart w:id="152" w:name="_Toc13570"/>
      <w:bookmarkStart w:id="153" w:name="_Toc487650555"/>
      <w:bookmarkStart w:id="154" w:name="_Toc16678"/>
      <w:bookmarkStart w:id="155" w:name="_Toc26804"/>
      <w:bookmarkStart w:id="156" w:name="_Toc8070"/>
      <w:bookmarkStart w:id="157" w:name="_Toc24422"/>
      <w:bookmarkStart w:id="158" w:name="_Toc18070"/>
      <w:r>
        <w:rPr>
          <w:rFonts w:hint="eastAsia"/>
          <w:highlight w:val="none"/>
        </w:rPr>
        <w:t>3.比选申请文件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308AC7D">
      <w:pPr>
        <w:pStyle w:val="5"/>
        <w:ind w:firstLine="562"/>
        <w:rPr>
          <w:highlight w:val="none"/>
        </w:rPr>
      </w:pPr>
      <w:bookmarkStart w:id="159" w:name="_Toc487650556"/>
      <w:r>
        <w:rPr>
          <w:rFonts w:hint="eastAsia"/>
          <w:highlight w:val="none"/>
        </w:rPr>
        <w:t>3.1比选申请文件的组成</w:t>
      </w:r>
      <w:bookmarkEnd w:id="159"/>
    </w:p>
    <w:p w14:paraId="76811DF6">
      <w:pPr>
        <w:ind w:firstLine="480"/>
        <w:rPr>
          <w:rFonts w:ascii="宋体" w:hAnsi="宋体"/>
          <w:szCs w:val="24"/>
          <w:highlight w:val="none"/>
        </w:rPr>
      </w:pPr>
      <w:r>
        <w:rPr>
          <w:rFonts w:hint="eastAsia" w:ascii="宋体" w:hAnsi="宋体"/>
          <w:szCs w:val="24"/>
          <w:highlight w:val="none"/>
        </w:rPr>
        <w:t>比选申请人应按照比选文件的规定和要求编制比选申请文件。比选申请人拟在中标后将中标项目的非主体、非关键性工作交由他人完成的，应当在比选申请文件中载明。比选申请单位编写的比选申请文件应包括下列部分：</w:t>
      </w:r>
    </w:p>
    <w:p w14:paraId="438CBB6F">
      <w:pPr>
        <w:ind w:firstLine="484" w:firstLineChars="202"/>
        <w:rPr>
          <w:rFonts w:ascii="宋体" w:hAnsi="宋体"/>
          <w:szCs w:val="24"/>
          <w:highlight w:val="none"/>
        </w:rPr>
      </w:pPr>
      <w:r>
        <w:rPr>
          <w:rFonts w:hint="eastAsia" w:ascii="宋体" w:hAnsi="宋体"/>
          <w:szCs w:val="24"/>
          <w:highlight w:val="none"/>
        </w:rPr>
        <w:t>比选申请文件封面</w:t>
      </w:r>
    </w:p>
    <w:p w14:paraId="6215336E">
      <w:pPr>
        <w:ind w:firstLine="468" w:firstLineChars="195"/>
        <w:rPr>
          <w:rFonts w:ascii="宋体" w:hAnsi="宋体"/>
          <w:szCs w:val="24"/>
          <w:highlight w:val="none"/>
        </w:rPr>
      </w:pPr>
      <w:r>
        <w:rPr>
          <w:rFonts w:hint="eastAsia" w:ascii="宋体" w:hAnsi="宋体"/>
          <w:szCs w:val="24"/>
          <w:highlight w:val="none"/>
        </w:rPr>
        <w:t>一、比选申请承诺函</w:t>
      </w:r>
    </w:p>
    <w:p w14:paraId="1B64DCC3">
      <w:pPr>
        <w:ind w:firstLine="468" w:firstLineChars="195"/>
        <w:rPr>
          <w:rFonts w:ascii="宋体" w:hAnsi="宋体"/>
          <w:szCs w:val="24"/>
          <w:highlight w:val="none"/>
        </w:rPr>
      </w:pPr>
      <w:r>
        <w:rPr>
          <w:rFonts w:hint="eastAsia" w:ascii="宋体" w:hAnsi="宋体"/>
          <w:szCs w:val="24"/>
          <w:highlight w:val="none"/>
        </w:rPr>
        <w:t>二、比选申请函</w:t>
      </w:r>
    </w:p>
    <w:p w14:paraId="4165FEC4">
      <w:pPr>
        <w:ind w:firstLine="468" w:firstLineChars="195"/>
        <w:rPr>
          <w:rFonts w:ascii="宋体" w:hAnsi="宋体"/>
          <w:szCs w:val="24"/>
          <w:highlight w:val="none"/>
        </w:rPr>
      </w:pPr>
      <w:r>
        <w:rPr>
          <w:rFonts w:hint="eastAsia" w:ascii="宋体" w:hAnsi="宋体"/>
          <w:szCs w:val="24"/>
          <w:highlight w:val="none"/>
        </w:rPr>
        <w:t>三、法定代表人身份证明及授权委托书</w:t>
      </w:r>
    </w:p>
    <w:p w14:paraId="465BC01E">
      <w:pPr>
        <w:ind w:firstLine="468" w:firstLineChars="195"/>
        <w:rPr>
          <w:rFonts w:ascii="宋体" w:hAnsi="宋体"/>
          <w:szCs w:val="24"/>
          <w:highlight w:val="none"/>
        </w:rPr>
      </w:pPr>
      <w:r>
        <w:rPr>
          <w:rFonts w:hint="eastAsia" w:ascii="宋体" w:hAnsi="宋体"/>
          <w:szCs w:val="24"/>
          <w:highlight w:val="none"/>
        </w:rPr>
        <w:t>四、比选申请保证金</w:t>
      </w:r>
    </w:p>
    <w:p w14:paraId="4BA0E57A">
      <w:pPr>
        <w:ind w:firstLine="468" w:firstLineChars="195"/>
        <w:rPr>
          <w:rFonts w:ascii="宋体" w:hAnsi="宋体"/>
          <w:szCs w:val="24"/>
          <w:highlight w:val="none"/>
        </w:rPr>
      </w:pPr>
      <w:r>
        <w:rPr>
          <w:rFonts w:hint="eastAsia" w:ascii="宋体" w:hAnsi="宋体"/>
          <w:szCs w:val="24"/>
          <w:highlight w:val="none"/>
        </w:rPr>
        <w:t>五、资格证明文件</w:t>
      </w:r>
    </w:p>
    <w:p w14:paraId="0F9B0B7A">
      <w:pPr>
        <w:ind w:firstLine="468" w:firstLineChars="195"/>
        <w:rPr>
          <w:rFonts w:ascii="宋体" w:hAnsi="宋体"/>
          <w:szCs w:val="24"/>
          <w:highlight w:val="none"/>
        </w:rPr>
      </w:pPr>
      <w:r>
        <w:rPr>
          <w:rFonts w:hint="eastAsia" w:ascii="宋体" w:hAnsi="宋体"/>
          <w:szCs w:val="24"/>
          <w:highlight w:val="none"/>
        </w:rPr>
        <w:t>六、项目报价表</w:t>
      </w:r>
    </w:p>
    <w:p w14:paraId="54B6A057">
      <w:pPr>
        <w:ind w:firstLine="468" w:firstLineChars="195"/>
        <w:rPr>
          <w:rFonts w:ascii="宋体" w:hAnsi="宋体"/>
          <w:szCs w:val="24"/>
          <w:highlight w:val="none"/>
        </w:rPr>
      </w:pPr>
      <w:r>
        <w:rPr>
          <w:rFonts w:hint="eastAsia" w:ascii="宋体" w:hAnsi="宋体"/>
          <w:szCs w:val="24"/>
          <w:highlight w:val="none"/>
        </w:rPr>
        <w:t>七、比选申请人基本情况表</w:t>
      </w:r>
    </w:p>
    <w:p w14:paraId="67E85D83">
      <w:pPr>
        <w:pStyle w:val="42"/>
        <w:ind w:firstLine="480"/>
        <w:rPr>
          <w:rFonts w:ascii="宋体" w:hAnsi="宋体"/>
          <w:sz w:val="24"/>
          <w:szCs w:val="24"/>
          <w:highlight w:val="none"/>
        </w:rPr>
      </w:pPr>
      <w:r>
        <w:rPr>
          <w:rFonts w:hint="eastAsia" w:ascii="宋体" w:hAnsi="宋体"/>
          <w:sz w:val="24"/>
          <w:szCs w:val="24"/>
          <w:highlight w:val="none"/>
        </w:rPr>
        <w:t>八、业绩证明</w:t>
      </w:r>
    </w:p>
    <w:p w14:paraId="3EC63BF0">
      <w:pPr>
        <w:pStyle w:val="42"/>
        <w:ind w:firstLine="480"/>
        <w:rPr>
          <w:rFonts w:ascii="宋体" w:hAnsi="宋体"/>
          <w:sz w:val="24"/>
          <w:szCs w:val="24"/>
          <w:highlight w:val="none"/>
        </w:rPr>
      </w:pPr>
      <w:r>
        <w:rPr>
          <w:rFonts w:hint="eastAsia" w:ascii="宋体" w:hAnsi="宋体"/>
          <w:sz w:val="24"/>
          <w:szCs w:val="24"/>
          <w:highlight w:val="none"/>
        </w:rPr>
        <w:t>九、项目人员资历证明</w:t>
      </w:r>
    </w:p>
    <w:p w14:paraId="7DF91F25">
      <w:pPr>
        <w:ind w:firstLine="468" w:firstLineChars="195"/>
        <w:rPr>
          <w:rFonts w:ascii="宋体" w:hAnsi="宋体"/>
          <w:szCs w:val="24"/>
          <w:highlight w:val="none"/>
        </w:rPr>
      </w:pPr>
      <w:r>
        <w:rPr>
          <w:rFonts w:hint="eastAsia" w:ascii="宋体" w:hAnsi="宋体"/>
          <w:szCs w:val="24"/>
          <w:highlight w:val="none"/>
        </w:rPr>
        <w:t>十、项目实施方案</w:t>
      </w:r>
    </w:p>
    <w:p w14:paraId="4CC7E5FC">
      <w:pPr>
        <w:pStyle w:val="5"/>
        <w:ind w:firstLine="562"/>
        <w:rPr>
          <w:highlight w:val="none"/>
        </w:rPr>
      </w:pPr>
      <w:bookmarkStart w:id="160" w:name="_Toc487650557"/>
      <w:r>
        <w:rPr>
          <w:rFonts w:hint="eastAsia"/>
          <w:highlight w:val="none"/>
        </w:rPr>
        <w:t>3.2比选申请文件格式</w:t>
      </w:r>
      <w:bookmarkEnd w:id="160"/>
      <w:r>
        <w:rPr>
          <w:rFonts w:hint="eastAsia"/>
          <w:highlight w:val="none"/>
        </w:rPr>
        <w:tab/>
      </w:r>
    </w:p>
    <w:p w14:paraId="09C6AFB9">
      <w:pPr>
        <w:ind w:firstLine="480"/>
        <w:rPr>
          <w:rFonts w:ascii="宋体" w:hAnsi="宋体"/>
          <w:szCs w:val="24"/>
          <w:highlight w:val="none"/>
        </w:rPr>
      </w:pPr>
      <w:r>
        <w:rPr>
          <w:rFonts w:hint="eastAsia" w:ascii="宋体" w:hAnsi="宋体"/>
          <w:szCs w:val="24"/>
          <w:highlight w:val="none"/>
        </w:rPr>
        <w:t>3.2.1 比选申请人应严格按照比选文件第六章中提供的“比选申请文件格式”填写相关内容。除明确允许比选申请人可以自行编写的外，比选申请人不得以“比选申请文件格式”规定之外的方式填写相关内容。</w:t>
      </w:r>
    </w:p>
    <w:p w14:paraId="36CE3B34">
      <w:pPr>
        <w:ind w:firstLine="480"/>
        <w:rPr>
          <w:rFonts w:ascii="宋体" w:hAnsi="宋体"/>
          <w:szCs w:val="24"/>
          <w:highlight w:val="none"/>
        </w:rPr>
      </w:pPr>
      <w:r>
        <w:rPr>
          <w:rFonts w:hint="eastAsia" w:ascii="宋体" w:hAnsi="宋体"/>
          <w:szCs w:val="24"/>
          <w:highlight w:val="none"/>
        </w:rPr>
        <w:t>3.2.2 对于没有格式要求的比选申请文件由比选申请人自行编写。</w:t>
      </w:r>
    </w:p>
    <w:p w14:paraId="365DEF2A">
      <w:pPr>
        <w:pStyle w:val="5"/>
        <w:ind w:firstLine="562"/>
        <w:rPr>
          <w:highlight w:val="none"/>
        </w:rPr>
      </w:pPr>
      <w:bookmarkStart w:id="161" w:name="_Toc487650558"/>
      <w:r>
        <w:rPr>
          <w:rFonts w:hint="eastAsia"/>
          <w:highlight w:val="none"/>
        </w:rPr>
        <w:t>3.3 比选申请有效期</w:t>
      </w:r>
      <w:bookmarkEnd w:id="161"/>
    </w:p>
    <w:p w14:paraId="456ACF35">
      <w:pPr>
        <w:ind w:firstLine="480"/>
        <w:rPr>
          <w:rFonts w:ascii="宋体" w:hAnsi="宋体"/>
          <w:szCs w:val="24"/>
          <w:highlight w:val="none"/>
        </w:rPr>
      </w:pPr>
      <w:r>
        <w:rPr>
          <w:rFonts w:hint="eastAsia" w:ascii="宋体" w:hAnsi="宋体"/>
          <w:szCs w:val="24"/>
          <w:highlight w:val="none"/>
        </w:rPr>
        <w:t>3.3.1 在比选申请人须知前附表规定的比选申请有效期内，比选申请人不得要求撤销或修改其比选申请文件。</w:t>
      </w:r>
    </w:p>
    <w:p w14:paraId="6F943E24">
      <w:pPr>
        <w:ind w:firstLine="480"/>
        <w:rPr>
          <w:highlight w:val="none"/>
        </w:rPr>
      </w:pPr>
      <w:r>
        <w:rPr>
          <w:rFonts w:hint="eastAsia"/>
          <w:highlight w:val="none"/>
        </w:rPr>
        <w:t>3.3.2 出现特殊情况需要延长比选申请有效期的，比选人可于比选申请有效期满之前以书面形式通知所有比选申请人延长比选申请有效期。比选申请人同意延长的，应相应延长其比选申请保证金的有效期，但不得要求或被允许修改或撤销其比选申请文件；比选申请人拒绝延长的，其比选申请失效，但比选申请人有权收</w:t>
      </w:r>
      <w:bookmarkStart w:id="162" w:name="_Toc183582223"/>
      <w:bookmarkStart w:id="163" w:name="_Toc183682360"/>
      <w:bookmarkStart w:id="164" w:name="_Toc217446050"/>
      <w:r>
        <w:rPr>
          <w:rFonts w:hint="eastAsia"/>
          <w:highlight w:val="none"/>
        </w:rPr>
        <w:t>回其比选申请保证金。拒绝延长比选申请有效期的比选申请人不得再参与该项目后续活动。比选人要求与比选申请人答复均应为书面形式进行。</w:t>
      </w:r>
    </w:p>
    <w:bookmarkEnd w:id="162"/>
    <w:bookmarkEnd w:id="163"/>
    <w:bookmarkEnd w:id="164"/>
    <w:p w14:paraId="4C867ADF">
      <w:pPr>
        <w:pStyle w:val="5"/>
        <w:ind w:firstLine="562"/>
        <w:rPr>
          <w:highlight w:val="none"/>
        </w:rPr>
      </w:pPr>
      <w:bookmarkStart w:id="165" w:name="_Toc487650559"/>
      <w:r>
        <w:rPr>
          <w:rFonts w:hint="eastAsia"/>
          <w:highlight w:val="none"/>
        </w:rPr>
        <w:t>3.4比选申请保证金</w:t>
      </w:r>
      <w:bookmarkEnd w:id="165"/>
    </w:p>
    <w:p w14:paraId="1EC1FAB2">
      <w:pPr>
        <w:ind w:firstLine="480"/>
        <w:rPr>
          <w:rFonts w:ascii="宋体" w:hAnsi="宋体"/>
          <w:szCs w:val="24"/>
          <w:highlight w:val="none"/>
        </w:rPr>
      </w:pPr>
      <w:r>
        <w:rPr>
          <w:rFonts w:hint="eastAsia" w:ascii="宋体" w:hAnsi="宋体"/>
          <w:szCs w:val="24"/>
          <w:highlight w:val="none"/>
        </w:rPr>
        <w:t>3.4.1比选申请人比选申请时，必须以人民币提交比选文件规定数额的比选申请保证金，并作为其比选申请的一部分。</w:t>
      </w:r>
    </w:p>
    <w:p w14:paraId="6FB9155A">
      <w:pPr>
        <w:ind w:firstLine="480"/>
        <w:rPr>
          <w:rFonts w:ascii="宋体" w:hAnsi="宋体"/>
          <w:szCs w:val="24"/>
          <w:highlight w:val="none"/>
        </w:rPr>
      </w:pPr>
      <w:r>
        <w:rPr>
          <w:rFonts w:hint="eastAsia" w:ascii="宋体" w:hAnsi="宋体"/>
          <w:szCs w:val="24"/>
          <w:highlight w:val="none"/>
        </w:rPr>
        <w:t>3.4.2 比选申请保证金采取银行转账形式。</w:t>
      </w:r>
    </w:p>
    <w:p w14:paraId="3E582FDB">
      <w:pPr>
        <w:ind w:firstLine="480"/>
        <w:rPr>
          <w:rFonts w:ascii="宋体" w:hAnsi="宋体"/>
          <w:szCs w:val="24"/>
          <w:highlight w:val="none"/>
        </w:rPr>
      </w:pPr>
      <w:r>
        <w:rPr>
          <w:rFonts w:hint="eastAsia" w:ascii="宋体" w:hAnsi="宋体"/>
          <w:szCs w:val="24"/>
          <w:highlight w:val="none"/>
        </w:rPr>
        <w:t>3.4.3未按比选文件要求在规定时间前（以到账时间为准）交纳规定数额比选申请保证金的比选申请将被拒绝。</w:t>
      </w:r>
    </w:p>
    <w:p w14:paraId="49FA9CED">
      <w:pPr>
        <w:ind w:firstLine="480"/>
        <w:rPr>
          <w:rFonts w:ascii="宋体" w:hAnsi="宋体"/>
          <w:szCs w:val="24"/>
          <w:highlight w:val="none"/>
        </w:rPr>
      </w:pPr>
      <w:r>
        <w:rPr>
          <w:rFonts w:hint="eastAsia" w:ascii="宋体" w:hAnsi="宋体"/>
          <w:szCs w:val="24"/>
          <w:highlight w:val="none"/>
        </w:rPr>
        <w:t>3.4.4 比选申请人所交纳的比选申请保证金不计利息。</w:t>
      </w:r>
    </w:p>
    <w:p w14:paraId="2F5CF409">
      <w:pPr>
        <w:ind w:firstLine="480"/>
        <w:rPr>
          <w:rFonts w:ascii="宋体" w:hAnsi="宋体"/>
          <w:szCs w:val="24"/>
          <w:highlight w:val="none"/>
        </w:rPr>
      </w:pPr>
      <w:r>
        <w:rPr>
          <w:rFonts w:hint="eastAsia" w:ascii="宋体" w:hAnsi="宋体"/>
          <w:szCs w:val="24"/>
          <w:highlight w:val="none"/>
        </w:rPr>
        <w:t>3.4.5未中标人的比选申请保证金，将在中标通知书发出后5个工作日内全额无息退还（不退现金），退还时请比选申请人携带收款收据及比选申请人银行开户信息到</w:t>
      </w:r>
      <w:r>
        <w:rPr>
          <w:rFonts w:hint="eastAsia" w:hAnsi="宋体"/>
          <w:highlight w:val="none"/>
        </w:rPr>
        <w:t>四川都金山地轨道交通有限责任公司</w:t>
      </w:r>
      <w:r>
        <w:rPr>
          <w:rFonts w:hint="eastAsia" w:ascii="宋体" w:hAnsi="宋体"/>
          <w:szCs w:val="24"/>
          <w:highlight w:val="none"/>
        </w:rPr>
        <w:t>财务处办理；</w:t>
      </w:r>
    </w:p>
    <w:p w14:paraId="1D2B2103">
      <w:pPr>
        <w:ind w:firstLine="470" w:firstLineChars="196"/>
        <w:rPr>
          <w:rFonts w:ascii="宋体" w:hAnsi="宋体"/>
          <w:szCs w:val="24"/>
          <w:highlight w:val="none"/>
        </w:rPr>
      </w:pPr>
      <w:r>
        <w:rPr>
          <w:rFonts w:hint="eastAsia" w:ascii="宋体" w:hAnsi="宋体"/>
          <w:szCs w:val="24"/>
          <w:highlight w:val="none"/>
        </w:rPr>
        <w:t>中标人的比选申请保证金，</w:t>
      </w:r>
      <w:r>
        <w:rPr>
          <w:rFonts w:hint="eastAsia" w:ascii="宋体" w:hAnsi="宋体" w:cs="宋体"/>
          <w:szCs w:val="24"/>
          <w:highlight w:val="none"/>
        </w:rPr>
        <w:t>比选</w:t>
      </w:r>
      <w:r>
        <w:rPr>
          <w:rFonts w:ascii="宋体" w:hAnsi="宋体" w:cs="宋体"/>
          <w:szCs w:val="24"/>
          <w:highlight w:val="none"/>
        </w:rPr>
        <w:t>人收到中标人支付的履约保证金后签合同之前无息退还（不退现金）</w:t>
      </w:r>
      <w:r>
        <w:rPr>
          <w:rFonts w:hint="eastAsia" w:ascii="宋体" w:hAnsi="宋体"/>
          <w:szCs w:val="24"/>
          <w:highlight w:val="none"/>
        </w:rPr>
        <w:t>，退还时请比选申请人携带收款收据、</w:t>
      </w:r>
      <w:r>
        <w:rPr>
          <w:rFonts w:hint="eastAsia" w:ascii="宋体" w:hAnsi="宋体"/>
          <w:bCs/>
          <w:szCs w:val="24"/>
          <w:highlight w:val="none"/>
          <w:u w:val="none"/>
        </w:rPr>
        <w:t>合同（副本原件）</w:t>
      </w:r>
      <w:r>
        <w:rPr>
          <w:rFonts w:ascii="宋体" w:hAnsi="宋体"/>
          <w:bCs/>
          <w:szCs w:val="24"/>
          <w:highlight w:val="none"/>
          <w:u w:val="none"/>
        </w:rPr>
        <w:t>2份</w:t>
      </w:r>
      <w:r>
        <w:rPr>
          <w:rFonts w:hint="eastAsia" w:ascii="宋体" w:hAnsi="宋体"/>
          <w:szCs w:val="24"/>
          <w:highlight w:val="none"/>
        </w:rPr>
        <w:t>及比选申请人银行开户信息到</w:t>
      </w:r>
      <w:r>
        <w:rPr>
          <w:rFonts w:hint="eastAsia" w:hAnsi="宋体"/>
          <w:highlight w:val="none"/>
        </w:rPr>
        <w:t>四川都金山地轨道交通有限责任公司</w:t>
      </w:r>
      <w:r>
        <w:rPr>
          <w:rFonts w:hint="eastAsia" w:ascii="宋体" w:hAnsi="宋体"/>
          <w:szCs w:val="24"/>
          <w:highlight w:val="none"/>
        </w:rPr>
        <w:t>财务处办理。</w:t>
      </w:r>
    </w:p>
    <w:p w14:paraId="124185BF">
      <w:pPr>
        <w:ind w:firstLine="480"/>
        <w:rPr>
          <w:rFonts w:ascii="宋体" w:hAnsi="宋体"/>
          <w:szCs w:val="24"/>
          <w:highlight w:val="none"/>
        </w:rPr>
      </w:pPr>
      <w:r>
        <w:rPr>
          <w:rFonts w:hint="eastAsia" w:ascii="宋体" w:hAnsi="宋体"/>
          <w:szCs w:val="24"/>
          <w:highlight w:val="none"/>
        </w:rPr>
        <w:t>3.4.6下列任何情况发生时，比选人将不予退还比选申请保证金：</w:t>
      </w:r>
    </w:p>
    <w:p w14:paraId="26C4AB25">
      <w:pPr>
        <w:ind w:firstLine="470" w:firstLineChars="196"/>
        <w:rPr>
          <w:rFonts w:ascii="宋体" w:hAnsi="宋体"/>
          <w:szCs w:val="24"/>
          <w:highlight w:val="none"/>
        </w:rPr>
      </w:pPr>
      <w:r>
        <w:rPr>
          <w:rFonts w:hint="eastAsia" w:ascii="宋体" w:hAnsi="宋体"/>
          <w:szCs w:val="24"/>
          <w:highlight w:val="none"/>
        </w:rPr>
        <w:t>（</w:t>
      </w:r>
      <w:r>
        <w:rPr>
          <w:rFonts w:ascii="宋体" w:hAnsi="宋体"/>
          <w:szCs w:val="24"/>
          <w:highlight w:val="none"/>
        </w:rPr>
        <w:t>1</w:t>
      </w:r>
      <w:r>
        <w:rPr>
          <w:rFonts w:hint="eastAsia" w:ascii="宋体" w:hAnsi="宋体"/>
          <w:szCs w:val="24"/>
          <w:highlight w:val="none"/>
        </w:rPr>
        <w:t>）比选申请人在比选文件规定的截止时间前撤回比选申请未采用书面方式通知比选人的。</w:t>
      </w:r>
    </w:p>
    <w:p w14:paraId="373EE6DA">
      <w:pPr>
        <w:ind w:firstLine="470" w:firstLineChars="196"/>
        <w:rPr>
          <w:rFonts w:ascii="宋体" w:hAnsi="宋体"/>
          <w:szCs w:val="24"/>
          <w:highlight w:val="none"/>
        </w:rPr>
      </w:pPr>
      <w:r>
        <w:rPr>
          <w:rFonts w:hint="eastAsia" w:ascii="宋体" w:hAnsi="宋体"/>
          <w:szCs w:val="24"/>
          <w:highlight w:val="none"/>
        </w:rPr>
        <w:t>（2）比选申请人在比选文件规定的截止时间后撤回比选申请的。</w:t>
      </w:r>
    </w:p>
    <w:p w14:paraId="0A311DCB">
      <w:pPr>
        <w:ind w:firstLine="470" w:firstLineChars="196"/>
        <w:rPr>
          <w:rFonts w:ascii="宋体" w:hAnsi="宋体"/>
          <w:szCs w:val="24"/>
          <w:highlight w:val="none"/>
        </w:rPr>
      </w:pPr>
      <w:r>
        <w:rPr>
          <w:rFonts w:hint="eastAsia" w:ascii="宋体" w:hAnsi="宋体"/>
          <w:szCs w:val="24"/>
          <w:highlight w:val="none"/>
        </w:rPr>
        <w:t>（3）由于中标人的原因未能按照比选文件的规定与比选人签订合同。</w:t>
      </w:r>
    </w:p>
    <w:p w14:paraId="74FD8CFC">
      <w:pPr>
        <w:ind w:firstLine="480"/>
        <w:rPr>
          <w:rFonts w:ascii="宋体" w:hAnsi="宋体"/>
          <w:szCs w:val="24"/>
          <w:highlight w:val="none"/>
        </w:rPr>
      </w:pPr>
      <w:r>
        <w:rPr>
          <w:rFonts w:hint="eastAsia" w:ascii="宋体" w:hAnsi="宋体"/>
          <w:szCs w:val="24"/>
          <w:highlight w:val="none"/>
        </w:rPr>
        <w:t>（4）比选申请有效期内，比选申请人在比选申请活动中有违规、违纪和违法的行为。</w:t>
      </w:r>
    </w:p>
    <w:p w14:paraId="5A3D3B7C">
      <w:pPr>
        <w:ind w:firstLine="480"/>
        <w:rPr>
          <w:rFonts w:ascii="宋体" w:hAnsi="宋体"/>
          <w:szCs w:val="24"/>
          <w:highlight w:val="none"/>
        </w:rPr>
      </w:pPr>
      <w:r>
        <w:rPr>
          <w:rFonts w:hint="eastAsia" w:ascii="宋体" w:hAnsi="宋体"/>
          <w:szCs w:val="24"/>
          <w:highlight w:val="none"/>
        </w:rPr>
        <w:t>（5）法律、法规规定的其他不退还</w:t>
      </w:r>
      <w:bookmarkStart w:id="166" w:name="_Toc183582225"/>
      <w:bookmarkStart w:id="167" w:name="_Toc482004168"/>
      <w:bookmarkStart w:id="168" w:name="_Toc217446052"/>
      <w:bookmarkStart w:id="169" w:name="_Toc183682362"/>
      <w:r>
        <w:rPr>
          <w:rFonts w:hint="eastAsia" w:ascii="宋体" w:hAnsi="宋体"/>
          <w:szCs w:val="24"/>
          <w:highlight w:val="none"/>
        </w:rPr>
        <w:t>比选申请保证金的情况。</w:t>
      </w:r>
    </w:p>
    <w:p w14:paraId="6ED3B4B2">
      <w:pPr>
        <w:pStyle w:val="5"/>
        <w:ind w:firstLine="562"/>
        <w:rPr>
          <w:highlight w:val="none"/>
        </w:rPr>
      </w:pPr>
      <w:bookmarkStart w:id="170" w:name="_Toc487650560"/>
      <w:r>
        <w:rPr>
          <w:rFonts w:hint="eastAsia"/>
          <w:highlight w:val="none"/>
        </w:rPr>
        <w:t>3.5</w:t>
      </w:r>
      <w:bookmarkEnd w:id="166"/>
      <w:bookmarkEnd w:id="167"/>
      <w:bookmarkEnd w:id="168"/>
      <w:bookmarkEnd w:id="169"/>
      <w:r>
        <w:rPr>
          <w:rFonts w:hint="eastAsia"/>
          <w:highlight w:val="none"/>
        </w:rPr>
        <w:t>比选申请文件的印制和签署</w:t>
      </w:r>
      <w:bookmarkEnd w:id="170"/>
    </w:p>
    <w:p w14:paraId="1716E144">
      <w:pPr>
        <w:ind w:firstLine="480"/>
        <w:rPr>
          <w:highlight w:val="none"/>
        </w:rPr>
      </w:pPr>
      <w:r>
        <w:rPr>
          <w:rFonts w:hint="eastAsia"/>
          <w:highlight w:val="none"/>
        </w:rPr>
        <w:t>3.5.1 比选申请人应按“比选申请须知前附表”准备比选申请文件正本、副本和相应的电子文档。比选申请文件的正本和副本应在其封面右上角清楚地标明“正本”或“副本”字样。若正本和副本有不一致的内容，以正本书面比选申请文件为准。</w:t>
      </w:r>
    </w:p>
    <w:p w14:paraId="6AF16953">
      <w:pPr>
        <w:ind w:firstLine="480"/>
        <w:rPr>
          <w:highlight w:val="none"/>
        </w:rPr>
      </w:pPr>
      <w:r>
        <w:rPr>
          <w:rFonts w:hint="eastAsia"/>
          <w:highlight w:val="none"/>
        </w:rPr>
        <w:t>3.5.2 比选申请文件的正本和副本均需打印或用不褪色、不变质的墨水书写，并由比选申请人的法定代表人或其授权代表在规定签章处签字和盖章。比选申请文件副本可采用正本的复印件，电子文档采用光盘或U盘制作。</w:t>
      </w:r>
    </w:p>
    <w:p w14:paraId="69F93E44">
      <w:pPr>
        <w:ind w:firstLine="480"/>
        <w:rPr>
          <w:highlight w:val="none"/>
        </w:rPr>
      </w:pPr>
      <w:r>
        <w:rPr>
          <w:rFonts w:hint="eastAsia"/>
          <w:highlight w:val="none"/>
        </w:rPr>
        <w:t>3.5.3 比选申请文件的打印和书写应清楚工整，任何行间插字、涂改或增删，必须由比选申请人的法定代表人或其授权代表签字或盖个人印鉴。字迹潦草、表达不清或可能导致非唯一理解的比选申请文件可能视为无效比选申请。</w:t>
      </w:r>
    </w:p>
    <w:p w14:paraId="38BF180E">
      <w:pPr>
        <w:ind w:firstLine="480"/>
        <w:rPr>
          <w:highlight w:val="none"/>
        </w:rPr>
      </w:pPr>
      <w:r>
        <w:rPr>
          <w:rFonts w:hint="eastAsia"/>
          <w:highlight w:val="none"/>
        </w:rPr>
        <w:t>3.5.4比选申请文件正本和副本必须装订成册并编码。</w:t>
      </w:r>
    </w:p>
    <w:p w14:paraId="6D4DCE35">
      <w:pPr>
        <w:ind w:firstLine="480"/>
        <w:rPr>
          <w:highlight w:val="none"/>
        </w:rPr>
      </w:pPr>
      <w:r>
        <w:rPr>
          <w:rFonts w:hint="eastAsia"/>
          <w:highlight w:val="none"/>
        </w:rPr>
        <w:t>3.5.5比选申请文件应根据比选文件的要求制作，签署、盖章和内容应完整，如有遗漏，将被视为无效比选申请。</w:t>
      </w:r>
    </w:p>
    <w:p w14:paraId="0B64226E">
      <w:pPr>
        <w:ind w:firstLine="480"/>
        <w:rPr>
          <w:highlight w:val="none"/>
        </w:rPr>
      </w:pPr>
      <w:r>
        <w:rPr>
          <w:rFonts w:hint="eastAsia"/>
          <w:highlight w:val="none"/>
        </w:rPr>
        <w:t>3.5.6 比选申请文件统一用</w:t>
      </w:r>
      <w:r>
        <w:rPr>
          <w:highlight w:val="none"/>
        </w:rPr>
        <w:t>A</w:t>
      </w:r>
      <w:bookmarkStart w:id="171" w:name="_Toc217446053"/>
      <w:bookmarkStart w:id="172" w:name="_Toc183682363"/>
      <w:bookmarkStart w:id="173" w:name="_Toc77400781"/>
      <w:bookmarkStart w:id="174" w:name="_Toc89075877"/>
      <w:bookmarkStart w:id="175" w:name="_Toc183582226"/>
      <w:bookmarkStart w:id="176" w:name="_Toc482004169"/>
      <w:r>
        <w:rPr>
          <w:highlight w:val="none"/>
        </w:rPr>
        <w:t>4</w:t>
      </w:r>
      <w:r>
        <w:rPr>
          <w:rFonts w:hint="eastAsia"/>
          <w:highlight w:val="none"/>
        </w:rPr>
        <w:t>幅面</w:t>
      </w:r>
      <w:bookmarkEnd w:id="171"/>
      <w:bookmarkEnd w:id="172"/>
      <w:bookmarkEnd w:id="173"/>
      <w:bookmarkEnd w:id="174"/>
      <w:bookmarkEnd w:id="175"/>
      <w:r>
        <w:rPr>
          <w:rFonts w:hint="eastAsia"/>
          <w:highlight w:val="none"/>
        </w:rPr>
        <w:t>纸印制。</w:t>
      </w:r>
    </w:p>
    <w:p w14:paraId="0631D39D">
      <w:pPr>
        <w:pStyle w:val="5"/>
        <w:ind w:firstLine="562"/>
        <w:rPr>
          <w:highlight w:val="none"/>
        </w:rPr>
      </w:pPr>
      <w:bookmarkStart w:id="177" w:name="_Toc487650561"/>
      <w:r>
        <w:rPr>
          <w:rFonts w:hint="eastAsia"/>
          <w:highlight w:val="none"/>
        </w:rPr>
        <w:t>3.6</w:t>
      </w:r>
      <w:bookmarkEnd w:id="176"/>
      <w:r>
        <w:rPr>
          <w:rFonts w:hint="eastAsia"/>
          <w:highlight w:val="none"/>
        </w:rPr>
        <w:t>比选申请文件</w:t>
      </w:r>
      <w:bookmarkStart w:id="178" w:name="_Toc183582227"/>
      <w:bookmarkStart w:id="179" w:name="_Toc217446054"/>
      <w:bookmarkStart w:id="180" w:name="_Toc183682364"/>
      <w:r>
        <w:rPr>
          <w:rFonts w:hint="eastAsia"/>
          <w:highlight w:val="none"/>
        </w:rPr>
        <w:t>的密封和标识</w:t>
      </w:r>
      <w:bookmarkEnd w:id="177"/>
    </w:p>
    <w:p w14:paraId="354BF5EC">
      <w:pPr>
        <w:ind w:firstLine="480"/>
        <w:rPr>
          <w:highlight w:val="none"/>
        </w:rPr>
      </w:pPr>
      <w:r>
        <w:rPr>
          <w:rFonts w:hint="eastAsia"/>
          <w:highlight w:val="none"/>
        </w:rPr>
        <w:t>3.6.1 比选申请文件的包装详见比选申请人须知前附表，电子文件装入比选申请文件的正本中。</w:t>
      </w:r>
    </w:p>
    <w:p w14:paraId="53EBDC2E">
      <w:pPr>
        <w:ind w:firstLine="480"/>
        <w:rPr>
          <w:highlight w:val="none"/>
        </w:rPr>
      </w:pPr>
      <w:r>
        <w:rPr>
          <w:rFonts w:hint="eastAsia"/>
          <w:highlight w:val="none"/>
        </w:rPr>
        <w:t>3.6.2 比选申请文件封套上应写明的内容见比选申请人须知前附表。</w:t>
      </w:r>
    </w:p>
    <w:p w14:paraId="23759EA7">
      <w:pPr>
        <w:ind w:firstLine="480"/>
        <w:rPr>
          <w:highlight w:val="none"/>
        </w:rPr>
      </w:pPr>
      <w:r>
        <w:rPr>
          <w:rFonts w:hint="eastAsia"/>
          <w:highlight w:val="none"/>
        </w:rPr>
        <w:t>3.6.3未按本比选文件要求密封的比选申请文件，比选人不予受理。</w:t>
      </w:r>
    </w:p>
    <w:bookmarkEnd w:id="178"/>
    <w:bookmarkEnd w:id="179"/>
    <w:bookmarkEnd w:id="180"/>
    <w:p w14:paraId="5C73C530">
      <w:pPr>
        <w:ind w:firstLine="562"/>
        <w:rPr>
          <w:b/>
          <w:kern w:val="2"/>
          <w:sz w:val="28"/>
          <w:szCs w:val="28"/>
          <w:highlight w:val="none"/>
        </w:rPr>
      </w:pPr>
      <w:r>
        <w:rPr>
          <w:rFonts w:hint="eastAsia"/>
          <w:b/>
          <w:kern w:val="2"/>
          <w:sz w:val="28"/>
          <w:szCs w:val="28"/>
          <w:highlight w:val="none"/>
        </w:rPr>
        <w:t>3.7比选申请文件的递交</w:t>
      </w:r>
    </w:p>
    <w:p w14:paraId="114C45BB">
      <w:pPr>
        <w:ind w:firstLine="480"/>
        <w:rPr>
          <w:highlight w:val="none"/>
        </w:rPr>
      </w:pPr>
      <w:r>
        <w:rPr>
          <w:rFonts w:hint="eastAsia"/>
          <w:highlight w:val="none"/>
        </w:rPr>
        <w:t>3.7.1 比选申请人应在比选文件规定的比选申请截止时间前，将比选申请文件按比选申请人须知前附表第19条规定密封后送达指定地点。比选申请截止时间以后送达的比选申请文件将被拒绝。</w:t>
      </w:r>
    </w:p>
    <w:p w14:paraId="6EFA3201">
      <w:pPr>
        <w:ind w:firstLine="480"/>
        <w:rPr>
          <w:highlight w:val="none"/>
        </w:rPr>
      </w:pPr>
      <w:r>
        <w:rPr>
          <w:rFonts w:hint="eastAsia"/>
          <w:highlight w:val="none"/>
        </w:rPr>
        <w:t>3.7.2 本次比选不接</w:t>
      </w:r>
      <w:bookmarkStart w:id="181" w:name="_Toc183582228"/>
      <w:bookmarkStart w:id="182" w:name="_Toc183682365"/>
      <w:bookmarkStart w:id="183" w:name="_Toc217446055"/>
      <w:bookmarkStart w:id="184" w:name="_Toc482004170"/>
      <w:r>
        <w:rPr>
          <w:rFonts w:hint="eastAsia"/>
          <w:highlight w:val="none"/>
        </w:rPr>
        <w:t>受邮寄的比选申请文件。</w:t>
      </w:r>
    </w:p>
    <w:p w14:paraId="088DE8D1">
      <w:pPr>
        <w:pStyle w:val="5"/>
        <w:ind w:firstLine="562"/>
        <w:rPr>
          <w:highlight w:val="none"/>
        </w:rPr>
      </w:pPr>
      <w:bookmarkStart w:id="185" w:name="_Toc487650562"/>
      <w:r>
        <w:rPr>
          <w:rFonts w:hint="eastAsia"/>
          <w:highlight w:val="none"/>
        </w:rPr>
        <w:t>3.</w:t>
      </w:r>
      <w:bookmarkEnd w:id="181"/>
      <w:bookmarkEnd w:id="182"/>
      <w:r>
        <w:rPr>
          <w:rFonts w:hint="eastAsia"/>
          <w:highlight w:val="none"/>
        </w:rPr>
        <w:t>8</w:t>
      </w:r>
      <w:bookmarkEnd w:id="183"/>
      <w:bookmarkEnd w:id="184"/>
      <w:r>
        <w:rPr>
          <w:rFonts w:hint="eastAsia"/>
          <w:highlight w:val="none"/>
        </w:rPr>
        <w:t>比选申请文件的修改和撤回</w:t>
      </w:r>
      <w:bookmarkEnd w:id="185"/>
    </w:p>
    <w:p w14:paraId="6D0D8AB2">
      <w:pPr>
        <w:ind w:firstLine="480"/>
        <w:rPr>
          <w:rFonts w:ascii="宋体" w:hAnsi="宋体"/>
          <w:szCs w:val="24"/>
          <w:highlight w:val="none"/>
        </w:rPr>
      </w:pPr>
      <w:r>
        <w:rPr>
          <w:rFonts w:hint="eastAsia" w:ascii="宋体" w:hAnsi="宋体"/>
          <w:szCs w:val="24"/>
          <w:highlight w:val="none"/>
        </w:rPr>
        <w:t>3.8</w:t>
      </w:r>
      <w:r>
        <w:rPr>
          <w:rFonts w:ascii="宋体" w:hAnsi="宋体"/>
          <w:szCs w:val="24"/>
          <w:highlight w:val="none"/>
        </w:rPr>
        <w:t>.</w:t>
      </w:r>
      <w:r>
        <w:rPr>
          <w:rFonts w:hint="eastAsia" w:ascii="宋体" w:hAnsi="宋体"/>
          <w:szCs w:val="24"/>
          <w:highlight w:val="none"/>
        </w:rPr>
        <w:t>1 比选申请人在递交了比选申请文件后，可以修改或撤回其比选申请文件，但必须在规定的比选申请截止时间前，以书面形式通知比选人。</w:t>
      </w:r>
    </w:p>
    <w:p w14:paraId="18CA2904">
      <w:pPr>
        <w:ind w:firstLine="480"/>
        <w:rPr>
          <w:rFonts w:ascii="宋体" w:hAnsi="宋体"/>
          <w:szCs w:val="24"/>
          <w:highlight w:val="none"/>
        </w:rPr>
      </w:pPr>
      <w:r>
        <w:rPr>
          <w:rFonts w:hint="eastAsia" w:ascii="宋体" w:hAnsi="宋体"/>
          <w:szCs w:val="24"/>
          <w:highlight w:val="none"/>
        </w:rPr>
        <w:t>3.8</w:t>
      </w:r>
      <w:r>
        <w:rPr>
          <w:rFonts w:ascii="宋体" w:hAnsi="宋体"/>
          <w:szCs w:val="24"/>
          <w:highlight w:val="none"/>
        </w:rPr>
        <w:t>.2</w:t>
      </w:r>
      <w:r>
        <w:rPr>
          <w:rFonts w:hint="eastAsia" w:ascii="宋体" w:hAnsi="宋体"/>
          <w:szCs w:val="24"/>
          <w:highlight w:val="none"/>
        </w:rPr>
        <w:t xml:space="preserve"> 比选申请人的修改书或撤回通知书，应由其法定代表人或授权代表签署并盖单位印章。修改书应按比选申请人须知前附表第19条规定进行密封和标注，并在密封袋上标注“修改”字样。</w:t>
      </w:r>
    </w:p>
    <w:p w14:paraId="3A454FE1">
      <w:pPr>
        <w:ind w:firstLine="470" w:firstLineChars="196"/>
        <w:rPr>
          <w:rFonts w:ascii="宋体" w:hAnsi="宋体"/>
          <w:szCs w:val="24"/>
          <w:highlight w:val="none"/>
        </w:rPr>
      </w:pPr>
      <w:r>
        <w:rPr>
          <w:rFonts w:hint="eastAsia" w:ascii="宋体" w:hAnsi="宋体"/>
          <w:szCs w:val="24"/>
          <w:highlight w:val="none"/>
        </w:rPr>
        <w:t>3.8</w:t>
      </w:r>
      <w:r>
        <w:rPr>
          <w:rFonts w:ascii="宋体" w:hAnsi="宋体"/>
          <w:szCs w:val="24"/>
          <w:highlight w:val="none"/>
        </w:rPr>
        <w:t>.3</w:t>
      </w:r>
      <w:r>
        <w:rPr>
          <w:rFonts w:hint="eastAsia" w:ascii="宋体" w:hAnsi="宋体"/>
          <w:szCs w:val="24"/>
          <w:highlight w:val="none"/>
        </w:rPr>
        <w:t xml:space="preserve"> 在比选申请截止时间之后，比选申请人不得对其递交的比选申请文件做任</w:t>
      </w:r>
      <w:bookmarkStart w:id="186" w:name="_Toc183582231"/>
      <w:bookmarkStart w:id="187" w:name="_Toc183682368"/>
      <w:bookmarkStart w:id="188" w:name="_Toc77400782"/>
      <w:bookmarkStart w:id="189" w:name="_Toc89075878"/>
      <w:bookmarkStart w:id="190" w:name="_Toc217446056"/>
      <w:bookmarkStart w:id="191" w:name="_Toc482004171"/>
      <w:r>
        <w:rPr>
          <w:rFonts w:hint="eastAsia" w:ascii="宋体" w:hAnsi="宋体"/>
          <w:szCs w:val="24"/>
          <w:highlight w:val="none"/>
        </w:rPr>
        <w:t>何修改或撤回</w:t>
      </w:r>
      <w:bookmarkEnd w:id="186"/>
      <w:bookmarkEnd w:id="187"/>
      <w:bookmarkEnd w:id="188"/>
      <w:bookmarkEnd w:id="189"/>
      <w:bookmarkEnd w:id="190"/>
      <w:bookmarkEnd w:id="191"/>
      <w:bookmarkStart w:id="192" w:name="_Toc183682369"/>
      <w:bookmarkStart w:id="193" w:name="_Toc217446057"/>
      <w:bookmarkStart w:id="194" w:name="_Toc183582232"/>
      <w:bookmarkStart w:id="195" w:name="_Toc482004172"/>
      <w:r>
        <w:rPr>
          <w:rFonts w:hint="eastAsia" w:ascii="宋体" w:hAnsi="宋体"/>
          <w:szCs w:val="24"/>
          <w:highlight w:val="none"/>
        </w:rPr>
        <w:t>比选申请。</w:t>
      </w:r>
    </w:p>
    <w:p w14:paraId="078C2C5C">
      <w:pPr>
        <w:pStyle w:val="3"/>
        <w:rPr>
          <w:highlight w:val="none"/>
        </w:rPr>
      </w:pPr>
      <w:bookmarkStart w:id="196" w:name="_Toc11990"/>
      <w:bookmarkStart w:id="197" w:name="_Toc6502"/>
      <w:bookmarkStart w:id="198" w:name="_Toc487650563"/>
      <w:bookmarkStart w:id="199" w:name="_Toc18862"/>
      <w:bookmarkStart w:id="200" w:name="_Toc24981"/>
      <w:bookmarkStart w:id="201" w:name="_Toc32322"/>
      <w:bookmarkStart w:id="202" w:name="_Toc4690"/>
      <w:bookmarkStart w:id="203" w:name="_Toc12036"/>
      <w:bookmarkStart w:id="204" w:name="_Toc26429"/>
      <w:bookmarkStart w:id="205" w:name="_Toc27905"/>
      <w:r>
        <w:rPr>
          <w:rFonts w:hint="eastAsia"/>
          <w:highlight w:val="none"/>
        </w:rPr>
        <w:t>4.开</w:t>
      </w:r>
      <w:bookmarkEnd w:id="192"/>
      <w:bookmarkEnd w:id="193"/>
      <w:bookmarkEnd w:id="194"/>
      <w:bookmarkEnd w:id="195"/>
      <w:r>
        <w:rPr>
          <w:rFonts w:hint="eastAsia"/>
          <w:highlight w:val="none"/>
        </w:rPr>
        <w:t>标和</w:t>
      </w:r>
      <w:bookmarkEnd w:id="196"/>
      <w:bookmarkEnd w:id="197"/>
      <w:bookmarkEnd w:id="198"/>
      <w:bookmarkEnd w:id="199"/>
      <w:bookmarkEnd w:id="200"/>
      <w:r>
        <w:rPr>
          <w:rFonts w:hint="eastAsia"/>
          <w:highlight w:val="none"/>
        </w:rPr>
        <w:t>比选</w:t>
      </w:r>
      <w:bookmarkEnd w:id="201"/>
      <w:bookmarkEnd w:id="202"/>
      <w:bookmarkEnd w:id="203"/>
      <w:bookmarkEnd w:id="204"/>
      <w:bookmarkEnd w:id="205"/>
    </w:p>
    <w:p w14:paraId="619532C9">
      <w:pPr>
        <w:pStyle w:val="5"/>
        <w:ind w:firstLine="562"/>
        <w:rPr>
          <w:highlight w:val="none"/>
        </w:rPr>
      </w:pPr>
      <w:bookmarkStart w:id="206" w:name="_Toc487650564"/>
      <w:r>
        <w:rPr>
          <w:rFonts w:hint="eastAsia"/>
          <w:highlight w:val="none"/>
        </w:rPr>
        <w:t>4.1开标</w:t>
      </w:r>
      <w:bookmarkEnd w:id="206"/>
    </w:p>
    <w:p w14:paraId="0D207507">
      <w:pPr>
        <w:spacing w:before="120"/>
        <w:ind w:firstLine="480"/>
        <w:rPr>
          <w:rFonts w:ascii="宋体" w:hAnsi="宋体"/>
          <w:b/>
          <w:bCs/>
          <w:szCs w:val="24"/>
          <w:highlight w:val="none"/>
        </w:rPr>
      </w:pPr>
      <w:r>
        <w:rPr>
          <w:rFonts w:hint="eastAsia" w:ascii="宋体" w:hAnsi="宋体"/>
          <w:szCs w:val="24"/>
          <w:highlight w:val="none"/>
        </w:rPr>
        <w:t>4.1</w:t>
      </w:r>
      <w:r>
        <w:rPr>
          <w:rFonts w:ascii="宋体" w:hAnsi="宋体"/>
          <w:szCs w:val="24"/>
          <w:highlight w:val="none"/>
        </w:rPr>
        <w:t>.</w:t>
      </w:r>
      <w:r>
        <w:rPr>
          <w:rFonts w:hint="eastAsia" w:ascii="宋体" w:hAnsi="宋体"/>
          <w:szCs w:val="24"/>
          <w:highlight w:val="none"/>
        </w:rPr>
        <w:t>1 比选人在比选文件规定的时间和地点组织公开开标，比选申请人须派代表参加并签到以证明其出席。</w:t>
      </w:r>
    </w:p>
    <w:p w14:paraId="465442A1">
      <w:pPr>
        <w:ind w:firstLine="480"/>
        <w:rPr>
          <w:rFonts w:ascii="宋体" w:hAnsi="宋体"/>
          <w:szCs w:val="24"/>
          <w:highlight w:val="none"/>
        </w:rPr>
      </w:pPr>
      <w:r>
        <w:rPr>
          <w:rFonts w:hint="eastAsia" w:ascii="宋体" w:hAnsi="宋体"/>
          <w:szCs w:val="24"/>
          <w:highlight w:val="none"/>
        </w:rPr>
        <w:t>4.1</w:t>
      </w:r>
      <w:r>
        <w:rPr>
          <w:rFonts w:ascii="宋体" w:hAnsi="宋体"/>
          <w:szCs w:val="24"/>
          <w:highlight w:val="none"/>
        </w:rPr>
        <w:t>.</w:t>
      </w:r>
      <w:r>
        <w:rPr>
          <w:rFonts w:hint="eastAsia" w:ascii="宋体" w:hAnsi="宋体"/>
          <w:szCs w:val="24"/>
          <w:highlight w:val="none"/>
        </w:rPr>
        <w:t>2 开标时，由监督人员旁站监督开标程序。</w:t>
      </w:r>
    </w:p>
    <w:p w14:paraId="5CF7FC65">
      <w:pPr>
        <w:ind w:firstLine="480"/>
        <w:rPr>
          <w:rFonts w:ascii="宋体" w:hAnsi="宋体"/>
          <w:szCs w:val="24"/>
          <w:highlight w:val="none"/>
        </w:rPr>
      </w:pPr>
      <w:r>
        <w:rPr>
          <w:rFonts w:hint="eastAsia" w:ascii="宋体" w:hAnsi="宋体"/>
          <w:szCs w:val="24"/>
          <w:highlight w:val="none"/>
        </w:rPr>
        <w:t>4.1.3开标时，由比选人、比选申请人授权代表共同对比选申请文件的密封情况进行检验。确认无误后，由比选工作人员将比选申请文件当众拆封，并由唱标人员按照比选文件规定的内容进行宣读。</w:t>
      </w:r>
    </w:p>
    <w:p w14:paraId="4308E8D7">
      <w:pPr>
        <w:ind w:firstLine="480"/>
        <w:rPr>
          <w:rFonts w:ascii="宋体" w:hAnsi="宋体"/>
          <w:szCs w:val="24"/>
          <w:highlight w:val="none"/>
        </w:rPr>
      </w:pPr>
      <w:r>
        <w:rPr>
          <w:rFonts w:hint="eastAsia" w:ascii="宋体" w:hAnsi="宋体"/>
          <w:szCs w:val="24"/>
          <w:highlight w:val="none"/>
        </w:rPr>
        <w:t>4.1.4 开标时，“项目报价表”与比选申请函报价金额不一致的，以“比选申请函”中金额为准；“比选申请函”中的大写金额与小写金额不一致的，以大写金额为准；</w:t>
      </w:r>
    </w:p>
    <w:p w14:paraId="689A6B84">
      <w:pPr>
        <w:pStyle w:val="33"/>
        <w:ind w:firstLine="480"/>
        <w:rPr>
          <w:rFonts w:ascii="宋体" w:hAnsi="宋体" w:eastAsia="宋体"/>
          <w:sz w:val="24"/>
          <w:szCs w:val="24"/>
          <w:highlight w:val="none"/>
        </w:rPr>
      </w:pPr>
      <w:r>
        <w:rPr>
          <w:rFonts w:hint="eastAsia" w:ascii="宋体" w:hAnsi="宋体" w:eastAsia="宋体"/>
          <w:sz w:val="24"/>
          <w:szCs w:val="24"/>
          <w:highlight w:val="none"/>
        </w:rPr>
        <w:t>4.1.5 比选申请文件中有关明细表内容与“比选申请函”不一致的，以“比选申请函”为准。对不同文字文本比选申请文件的解释发生异议的，以中文文本为准。</w:t>
      </w:r>
    </w:p>
    <w:p w14:paraId="19332CFE">
      <w:pPr>
        <w:ind w:firstLine="480"/>
        <w:rPr>
          <w:rFonts w:ascii="宋体" w:hAnsi="宋体"/>
          <w:szCs w:val="24"/>
          <w:highlight w:val="none"/>
        </w:rPr>
      </w:pPr>
      <w:r>
        <w:rPr>
          <w:rFonts w:hint="eastAsia" w:ascii="宋体" w:hAnsi="宋体"/>
          <w:szCs w:val="24"/>
          <w:highlight w:val="none"/>
        </w:rPr>
        <w:t>4.1.6 所有比选申请唱标完毕，如比选申请人代表对宣读的“比选申请函”上的内容有异议的，应在获得开标会主持人同意后当场提出。如确实属于唱标人员宣读错了的，经现场监督人员核实</w:t>
      </w:r>
      <w:bookmarkStart w:id="207" w:name="_Toc217446058"/>
      <w:bookmarkStart w:id="208" w:name="_Toc482004173"/>
      <w:r>
        <w:rPr>
          <w:rFonts w:hint="eastAsia" w:ascii="宋体" w:hAnsi="宋体"/>
          <w:szCs w:val="24"/>
          <w:highlight w:val="none"/>
        </w:rPr>
        <w:t>后，当场予以更</w:t>
      </w:r>
      <w:bookmarkEnd w:id="207"/>
      <w:bookmarkEnd w:id="208"/>
      <w:r>
        <w:rPr>
          <w:rFonts w:hint="eastAsia" w:ascii="宋体" w:hAnsi="宋体"/>
          <w:szCs w:val="24"/>
          <w:highlight w:val="none"/>
        </w:rPr>
        <w:t>正。</w:t>
      </w:r>
    </w:p>
    <w:p w14:paraId="7277E5F9">
      <w:pPr>
        <w:pStyle w:val="5"/>
        <w:ind w:firstLine="562"/>
        <w:rPr>
          <w:highlight w:val="none"/>
        </w:rPr>
      </w:pPr>
      <w:bookmarkStart w:id="209" w:name="_Toc487650565"/>
      <w:r>
        <w:rPr>
          <w:rFonts w:hint="eastAsia"/>
          <w:highlight w:val="none"/>
        </w:rPr>
        <w:t>4.2开标程序</w:t>
      </w:r>
      <w:bookmarkEnd w:id="209"/>
    </w:p>
    <w:p w14:paraId="753F9B10">
      <w:pPr>
        <w:pStyle w:val="33"/>
        <w:ind w:firstLine="480"/>
        <w:rPr>
          <w:rFonts w:ascii="宋体" w:hAnsi="宋体" w:eastAsia="宋体"/>
          <w:sz w:val="24"/>
          <w:szCs w:val="24"/>
          <w:highlight w:val="none"/>
        </w:rPr>
      </w:pPr>
      <w:r>
        <w:rPr>
          <w:rFonts w:hint="eastAsia" w:ascii="宋体" w:hAnsi="宋体" w:eastAsia="宋体"/>
          <w:sz w:val="24"/>
          <w:szCs w:val="24"/>
          <w:highlight w:val="none"/>
        </w:rPr>
        <w:t>4.2.1 开标会主持人按照比选文件规定的开标时间宣布开标，按照规定要求主持开标会。开标将按以下程序进行：</w:t>
      </w:r>
    </w:p>
    <w:p w14:paraId="75EAE847">
      <w:pPr>
        <w:ind w:firstLine="480"/>
        <w:rPr>
          <w:rFonts w:ascii="宋体" w:hAnsi="宋体"/>
          <w:szCs w:val="24"/>
          <w:highlight w:val="none"/>
        </w:rPr>
      </w:pPr>
      <w:r>
        <w:rPr>
          <w:rFonts w:hint="eastAsia" w:ascii="宋体" w:hAnsi="宋体"/>
          <w:szCs w:val="24"/>
          <w:highlight w:val="none"/>
        </w:rPr>
        <w:t>（1）宣布开标会开始。开标时间到，主持人宣布开标会开始并致辞，当众宣布参加开标会的现场监督人员和主持人、唱标、监标、会议记录等比选工作人员，根据“比选申请人签到表”宣布参加比选申请的比选申请人名单。</w:t>
      </w:r>
    </w:p>
    <w:p w14:paraId="4C04641A">
      <w:pPr>
        <w:ind w:firstLine="480"/>
        <w:rPr>
          <w:rFonts w:ascii="宋体" w:hAnsi="宋体"/>
          <w:szCs w:val="24"/>
          <w:highlight w:val="none"/>
        </w:rPr>
      </w:pPr>
      <w:r>
        <w:rPr>
          <w:rFonts w:hint="eastAsia" w:ascii="宋体" w:hAnsi="宋体"/>
          <w:szCs w:val="24"/>
          <w:highlight w:val="none"/>
        </w:rPr>
        <w:t>（2）宣布会场纪律和有关注意事项。</w:t>
      </w:r>
    </w:p>
    <w:p w14:paraId="60A19AFA">
      <w:pPr>
        <w:ind w:firstLine="480"/>
        <w:rPr>
          <w:rFonts w:ascii="宋体" w:hAnsi="宋体"/>
          <w:szCs w:val="24"/>
          <w:highlight w:val="none"/>
        </w:rPr>
      </w:pPr>
      <w:r>
        <w:rPr>
          <w:rFonts w:hint="eastAsia" w:ascii="宋体" w:hAnsi="宋体"/>
          <w:szCs w:val="24"/>
          <w:highlight w:val="none"/>
        </w:rPr>
        <w:t>（3）评审比选申请文件密封情况，主持人当众宣布评审情况。</w:t>
      </w:r>
    </w:p>
    <w:p w14:paraId="6F22DA6A">
      <w:pPr>
        <w:ind w:firstLine="460" w:firstLineChars="192"/>
        <w:rPr>
          <w:rFonts w:ascii="宋体" w:hAnsi="宋体"/>
          <w:szCs w:val="24"/>
          <w:highlight w:val="none"/>
        </w:rPr>
      </w:pPr>
      <w:r>
        <w:rPr>
          <w:rFonts w:hint="eastAsia" w:ascii="宋体" w:hAnsi="宋体"/>
          <w:szCs w:val="24"/>
          <w:highlight w:val="none"/>
        </w:rPr>
        <w:t>（4）开标唱标。主持人宣布开标后，由现场工作人员按任意顺序对比选申请人的比选申请文件当众进行拆封。唱标人员在唱标过程中，如遇有字迹不清楚的，应即刻报告主持人，经现场监督人员核实后，主持人立即请比选申请人代表现场进行澄清。</w:t>
      </w:r>
    </w:p>
    <w:p w14:paraId="2C8A4DCD">
      <w:pPr>
        <w:ind w:firstLine="460" w:firstLineChars="192"/>
        <w:rPr>
          <w:rFonts w:ascii="宋体" w:hAnsi="宋体"/>
          <w:szCs w:val="24"/>
          <w:highlight w:val="none"/>
        </w:rPr>
      </w:pPr>
      <w:r>
        <w:rPr>
          <w:rFonts w:hint="eastAsia" w:ascii="宋体" w:hAnsi="宋体"/>
          <w:szCs w:val="24"/>
          <w:highlight w:val="none"/>
        </w:rPr>
        <w:t>（5）宣布开标会结束。主持人宣布开标会结束后，所有</w:t>
      </w:r>
      <w:bookmarkStart w:id="210" w:name="_Toc217446059"/>
      <w:bookmarkStart w:id="211" w:name="_Toc482004174"/>
      <w:r>
        <w:rPr>
          <w:rFonts w:hint="eastAsia" w:ascii="宋体" w:hAnsi="宋体"/>
          <w:szCs w:val="24"/>
          <w:highlight w:val="none"/>
        </w:rPr>
        <w:t>比选申请人代表应立即</w:t>
      </w:r>
      <w:bookmarkEnd w:id="210"/>
      <w:bookmarkEnd w:id="211"/>
      <w:r>
        <w:rPr>
          <w:rFonts w:hint="eastAsia" w:ascii="宋体" w:hAnsi="宋体"/>
          <w:szCs w:val="24"/>
          <w:highlight w:val="none"/>
        </w:rPr>
        <w:t>退场。</w:t>
      </w:r>
    </w:p>
    <w:p w14:paraId="53B0BEB9">
      <w:pPr>
        <w:pStyle w:val="5"/>
        <w:ind w:firstLine="562"/>
        <w:rPr>
          <w:highlight w:val="none"/>
        </w:rPr>
      </w:pPr>
      <w:bookmarkStart w:id="212" w:name="_Toc487650566"/>
      <w:r>
        <w:rPr>
          <w:rFonts w:hint="eastAsia"/>
          <w:highlight w:val="none"/>
        </w:rPr>
        <w:t>4.3</w:t>
      </w:r>
      <w:bookmarkEnd w:id="212"/>
      <w:r>
        <w:rPr>
          <w:rFonts w:hint="eastAsia"/>
          <w:highlight w:val="none"/>
        </w:rPr>
        <w:t>比选办法</w:t>
      </w:r>
    </w:p>
    <w:p w14:paraId="725E1317">
      <w:pPr>
        <w:ind w:firstLine="480"/>
        <w:rPr>
          <w:rFonts w:ascii="宋体" w:hAnsi="宋体"/>
          <w:szCs w:val="24"/>
          <w:highlight w:val="none"/>
        </w:rPr>
      </w:pPr>
      <w:r>
        <w:rPr>
          <w:rFonts w:hint="eastAsia" w:hAnsi="宋体"/>
          <w:highlight w:val="none"/>
        </w:rPr>
        <w:t xml:space="preserve"> </w:t>
      </w:r>
      <w:bookmarkStart w:id="213" w:name="_Toc217446062"/>
      <w:bookmarkStart w:id="214" w:name="_Toc482004177"/>
      <w:r>
        <w:rPr>
          <w:rFonts w:hint="eastAsia" w:hAnsi="宋体"/>
          <w:highlight w:val="none"/>
        </w:rPr>
        <w:t>(详见第四章）</w:t>
      </w:r>
    </w:p>
    <w:bookmarkEnd w:id="213"/>
    <w:bookmarkEnd w:id="214"/>
    <w:p w14:paraId="33E811C5">
      <w:pPr>
        <w:pStyle w:val="3"/>
        <w:rPr>
          <w:highlight w:val="none"/>
        </w:rPr>
      </w:pPr>
      <w:bookmarkStart w:id="215" w:name="_Toc30018"/>
      <w:bookmarkStart w:id="216" w:name="_Toc28424"/>
      <w:bookmarkStart w:id="217" w:name="_Toc12219"/>
      <w:bookmarkStart w:id="218" w:name="_Toc487650567"/>
      <w:bookmarkStart w:id="219" w:name="_Toc18392"/>
      <w:bookmarkStart w:id="220" w:name="_Toc28161"/>
      <w:bookmarkStart w:id="221" w:name="_Toc20618"/>
      <w:bookmarkStart w:id="222" w:name="_Toc25465"/>
      <w:bookmarkStart w:id="223" w:name="_Toc24011"/>
      <w:bookmarkStart w:id="224" w:name="_Toc9240"/>
      <w:r>
        <w:rPr>
          <w:rFonts w:hint="eastAsia"/>
          <w:highlight w:val="none"/>
        </w:rPr>
        <w:t>5.定 标</w:t>
      </w:r>
      <w:bookmarkEnd w:id="215"/>
      <w:bookmarkEnd w:id="216"/>
      <w:bookmarkEnd w:id="217"/>
      <w:bookmarkEnd w:id="218"/>
      <w:bookmarkEnd w:id="219"/>
      <w:bookmarkEnd w:id="220"/>
      <w:bookmarkEnd w:id="221"/>
      <w:bookmarkEnd w:id="222"/>
      <w:bookmarkEnd w:id="223"/>
      <w:bookmarkEnd w:id="224"/>
    </w:p>
    <w:p w14:paraId="309CAC3B">
      <w:pPr>
        <w:pStyle w:val="5"/>
        <w:ind w:firstLine="562"/>
        <w:rPr>
          <w:highlight w:val="none"/>
        </w:rPr>
      </w:pPr>
      <w:bookmarkStart w:id="225" w:name="_Toc487650568"/>
      <w:r>
        <w:rPr>
          <w:rFonts w:hint="eastAsia"/>
          <w:highlight w:val="none"/>
        </w:rPr>
        <w:t>5.1 定标原则</w:t>
      </w:r>
      <w:bookmarkEnd w:id="225"/>
    </w:p>
    <w:p w14:paraId="18D9A79E">
      <w:pPr>
        <w:ind w:firstLine="480"/>
        <w:rPr>
          <w:highlight w:val="none"/>
        </w:rPr>
      </w:pPr>
      <w:r>
        <w:rPr>
          <w:rFonts w:hint="eastAsia"/>
          <w:highlight w:val="none"/>
        </w:rPr>
        <w:t>评委会</w:t>
      </w:r>
      <w:r>
        <w:rPr>
          <w:highlight w:val="none"/>
        </w:rPr>
        <w:t>推荐</w:t>
      </w:r>
      <w:r>
        <w:rPr>
          <w:rFonts w:hint="eastAsia"/>
          <w:highlight w:val="none"/>
        </w:rPr>
        <w:t>评分</w:t>
      </w:r>
      <w:r>
        <w:rPr>
          <w:highlight w:val="none"/>
        </w:rPr>
        <w:t>得分</w:t>
      </w:r>
      <w:r>
        <w:rPr>
          <w:rFonts w:hint="eastAsia"/>
          <w:highlight w:val="none"/>
        </w:rPr>
        <w:t>前三名</w:t>
      </w:r>
      <w:r>
        <w:rPr>
          <w:highlight w:val="none"/>
        </w:rPr>
        <w:t>为中标</w:t>
      </w:r>
      <w:r>
        <w:rPr>
          <w:rFonts w:hint="eastAsia"/>
          <w:highlight w:val="none"/>
        </w:rPr>
        <w:t>候选人(推荐不足3名时取相应的数量)</w:t>
      </w:r>
    </w:p>
    <w:p w14:paraId="7661051F">
      <w:pPr>
        <w:pStyle w:val="5"/>
        <w:ind w:firstLine="562"/>
        <w:rPr>
          <w:highlight w:val="none"/>
        </w:rPr>
      </w:pPr>
      <w:bookmarkStart w:id="226" w:name="_Toc487650569"/>
      <w:r>
        <w:rPr>
          <w:rFonts w:hint="eastAsia"/>
          <w:highlight w:val="none"/>
        </w:rPr>
        <w:t>5.2 定标程序</w:t>
      </w:r>
      <w:bookmarkEnd w:id="226"/>
    </w:p>
    <w:p w14:paraId="19D7679D">
      <w:pPr>
        <w:widowControl/>
        <w:ind w:firstLine="480"/>
        <w:jc w:val="left"/>
        <w:rPr>
          <w:rFonts w:ascii="宋体" w:hAnsi="宋体"/>
          <w:szCs w:val="24"/>
          <w:highlight w:val="none"/>
        </w:rPr>
      </w:pPr>
      <w:r>
        <w:rPr>
          <w:rFonts w:hint="eastAsia" w:ascii="宋体" w:hAnsi="宋体"/>
          <w:szCs w:val="24"/>
          <w:highlight w:val="none"/>
        </w:rPr>
        <w:t>5.2.1 评委会将比选情况写出书面报告，推荐中标候选人，并按照得分高低标明排列顺序。</w:t>
      </w:r>
    </w:p>
    <w:p w14:paraId="0C55E660">
      <w:pPr>
        <w:widowControl/>
        <w:ind w:firstLine="480"/>
        <w:jc w:val="left"/>
        <w:rPr>
          <w:rFonts w:ascii="宋体" w:hAnsi="宋体"/>
          <w:szCs w:val="22"/>
          <w:highlight w:val="none"/>
        </w:rPr>
      </w:pPr>
      <w:r>
        <w:rPr>
          <w:rFonts w:hint="eastAsia" w:ascii="宋体" w:hAnsi="宋体"/>
          <w:szCs w:val="22"/>
          <w:highlight w:val="none"/>
        </w:rPr>
        <w:t>5.2.2评标委员会按综合得分由高至低顺序依次推荐前 1-3 名为中标候人，并注明排名顺序。</w:t>
      </w:r>
    </w:p>
    <w:p w14:paraId="4B4CF9BA">
      <w:pPr>
        <w:widowControl/>
        <w:ind w:firstLine="480"/>
        <w:jc w:val="left"/>
        <w:rPr>
          <w:rFonts w:ascii="宋体" w:hAnsi="宋体"/>
          <w:szCs w:val="24"/>
          <w:highlight w:val="none"/>
        </w:rPr>
      </w:pPr>
      <w:r>
        <w:rPr>
          <w:rFonts w:hint="eastAsia" w:ascii="宋体" w:hAnsi="宋体"/>
          <w:szCs w:val="22"/>
          <w:highlight w:val="none"/>
        </w:rPr>
        <w:t>5.2.3采用综合评分法时，若比选申请人得分相同，评标委员会应按照评审价从低到高的顺序推荐中标候选人或直接确定中标人，若评审价再相同，由比选人确定中标候选人顺序或直接确定中标人。</w:t>
      </w:r>
    </w:p>
    <w:p w14:paraId="487A9F5D">
      <w:pPr>
        <w:ind w:firstLine="420" w:firstLineChars="175"/>
        <w:rPr>
          <w:rFonts w:ascii="宋体" w:hAnsi="宋体"/>
          <w:szCs w:val="24"/>
          <w:highlight w:val="none"/>
        </w:rPr>
      </w:pPr>
      <w:r>
        <w:rPr>
          <w:rFonts w:hint="eastAsia" w:ascii="宋体" w:hAnsi="宋体"/>
          <w:szCs w:val="24"/>
          <w:highlight w:val="none"/>
        </w:rPr>
        <w:t>5.2</w:t>
      </w:r>
      <w:r>
        <w:rPr>
          <w:rFonts w:ascii="宋体" w:hAnsi="宋体"/>
          <w:szCs w:val="24"/>
          <w:highlight w:val="none"/>
        </w:rPr>
        <w:t>.</w:t>
      </w:r>
      <w:r>
        <w:rPr>
          <w:rFonts w:hint="eastAsia" w:ascii="宋体" w:hAnsi="宋体"/>
          <w:szCs w:val="24"/>
          <w:highlight w:val="none"/>
        </w:rPr>
        <w:t>4</w:t>
      </w:r>
      <w:r>
        <w:rPr>
          <w:rFonts w:ascii="宋体" w:hAnsi="宋体"/>
          <w:szCs w:val="24"/>
          <w:highlight w:val="none"/>
        </w:rPr>
        <w:t xml:space="preserve"> </w:t>
      </w:r>
      <w:r>
        <w:rPr>
          <w:rFonts w:hint="eastAsia" w:ascii="宋体" w:hAnsi="宋体"/>
          <w:szCs w:val="24"/>
          <w:highlight w:val="none"/>
        </w:rPr>
        <w:t>评委会</w:t>
      </w:r>
      <w:bookmarkStart w:id="227" w:name="_Toc183682375"/>
      <w:bookmarkStart w:id="228" w:name="_Toc183582238"/>
      <w:bookmarkStart w:id="229" w:name="_Toc217446063"/>
      <w:bookmarkStart w:id="230" w:name="_Toc482004178"/>
      <w:r>
        <w:rPr>
          <w:rFonts w:hint="eastAsia" w:ascii="宋体" w:hAnsi="宋体"/>
          <w:szCs w:val="24"/>
          <w:highlight w:val="none"/>
        </w:rPr>
        <w:t>在比选结束后2</w:t>
      </w:r>
      <w:bookmarkEnd w:id="227"/>
      <w:bookmarkEnd w:id="228"/>
      <w:r>
        <w:rPr>
          <w:rFonts w:hint="eastAsia" w:ascii="宋体" w:hAnsi="宋体"/>
          <w:szCs w:val="24"/>
          <w:highlight w:val="none"/>
        </w:rPr>
        <w:t>个</w:t>
      </w:r>
      <w:bookmarkEnd w:id="229"/>
      <w:bookmarkEnd w:id="230"/>
      <w:r>
        <w:rPr>
          <w:rFonts w:hint="eastAsia" w:ascii="宋体" w:hAnsi="宋体"/>
          <w:szCs w:val="24"/>
          <w:highlight w:val="none"/>
        </w:rPr>
        <w:t>工作日内将比选报告送比选人。</w:t>
      </w:r>
    </w:p>
    <w:p w14:paraId="1BF58461">
      <w:pPr>
        <w:ind w:firstLine="420" w:firstLineChars="175"/>
        <w:rPr>
          <w:rFonts w:ascii="宋体" w:hAnsi="宋体"/>
          <w:szCs w:val="24"/>
          <w:highlight w:val="none"/>
        </w:rPr>
      </w:pPr>
      <w:r>
        <w:rPr>
          <w:rFonts w:hint="eastAsia" w:ascii="宋体" w:hAnsi="宋体"/>
          <w:szCs w:val="24"/>
          <w:highlight w:val="none"/>
        </w:rPr>
        <w:t>5.2</w:t>
      </w:r>
      <w:r>
        <w:rPr>
          <w:rFonts w:ascii="宋体" w:hAnsi="宋体"/>
          <w:szCs w:val="24"/>
          <w:highlight w:val="none"/>
        </w:rPr>
        <w:t>.</w:t>
      </w:r>
      <w:r>
        <w:rPr>
          <w:rFonts w:hint="eastAsia" w:ascii="宋体" w:hAnsi="宋体"/>
          <w:szCs w:val="24"/>
          <w:highlight w:val="none"/>
        </w:rPr>
        <w:t>5 比选人不解释中标或落标原因，不退回比选申请文件和其他比选申请资料。</w:t>
      </w:r>
    </w:p>
    <w:p w14:paraId="6B3B7F43">
      <w:pPr>
        <w:pStyle w:val="5"/>
        <w:ind w:firstLine="562"/>
        <w:rPr>
          <w:highlight w:val="none"/>
        </w:rPr>
      </w:pPr>
      <w:bookmarkStart w:id="231" w:name="_Toc487650570"/>
      <w:r>
        <w:rPr>
          <w:rFonts w:hint="eastAsia"/>
          <w:highlight w:val="none"/>
        </w:rPr>
        <w:t>5.3中标通知书</w:t>
      </w:r>
      <w:bookmarkEnd w:id="231"/>
    </w:p>
    <w:p w14:paraId="7D2B8C73">
      <w:pPr>
        <w:tabs>
          <w:tab w:val="left" w:pos="7665"/>
        </w:tabs>
        <w:ind w:firstLine="480"/>
        <w:rPr>
          <w:rFonts w:ascii="宋体" w:hAnsi="宋体"/>
          <w:szCs w:val="24"/>
          <w:highlight w:val="none"/>
        </w:rPr>
      </w:pPr>
      <w:r>
        <w:rPr>
          <w:rFonts w:hint="eastAsia" w:ascii="宋体" w:hAnsi="宋体"/>
          <w:szCs w:val="24"/>
          <w:highlight w:val="none"/>
        </w:rPr>
        <w:t>5.3</w:t>
      </w:r>
      <w:r>
        <w:rPr>
          <w:rFonts w:ascii="宋体" w:hAnsi="宋体"/>
          <w:szCs w:val="24"/>
          <w:highlight w:val="none"/>
        </w:rPr>
        <w:t>.</w:t>
      </w:r>
      <w:r>
        <w:rPr>
          <w:rFonts w:hint="eastAsia" w:ascii="宋体" w:hAnsi="宋体"/>
          <w:szCs w:val="24"/>
          <w:highlight w:val="none"/>
        </w:rPr>
        <w:t>1 中标通知书为签订本项目合同的依据，是合同的有效组成部分。</w:t>
      </w:r>
    </w:p>
    <w:p w14:paraId="451B3186">
      <w:pPr>
        <w:tabs>
          <w:tab w:val="left" w:pos="7665"/>
        </w:tabs>
        <w:ind w:firstLine="480"/>
        <w:rPr>
          <w:highlight w:val="none"/>
        </w:rPr>
      </w:pPr>
      <w:r>
        <w:rPr>
          <w:rFonts w:hint="eastAsia" w:ascii="宋体" w:hAnsi="宋体"/>
          <w:szCs w:val="24"/>
          <w:highlight w:val="none"/>
        </w:rPr>
        <w:t xml:space="preserve">5.3.2 </w:t>
      </w:r>
      <w:r>
        <w:rPr>
          <w:rFonts w:hint="eastAsia"/>
          <w:highlight w:val="none"/>
        </w:rPr>
        <w:t>中标通知书对比选人和</w:t>
      </w:r>
      <w:bookmarkStart w:id="232" w:name="_Toc482004179"/>
      <w:bookmarkStart w:id="233" w:name="_Toc217446064"/>
      <w:bookmarkStart w:id="234" w:name="_Toc183682377"/>
      <w:bookmarkStart w:id="235" w:name="_Toc183582240"/>
      <w:r>
        <w:rPr>
          <w:rFonts w:hint="eastAsia"/>
          <w:highlight w:val="none"/>
        </w:rPr>
        <w:t>中标人均具有法律效力。中</w:t>
      </w:r>
      <w:bookmarkEnd w:id="232"/>
      <w:bookmarkEnd w:id="233"/>
      <w:bookmarkStart w:id="236" w:name="_Toc217446065"/>
      <w:bookmarkStart w:id="237" w:name="_Toc482004180"/>
      <w:r>
        <w:rPr>
          <w:rFonts w:hint="eastAsia"/>
          <w:highlight w:val="none"/>
        </w:rPr>
        <w:t>标通知书发出后，</w:t>
      </w:r>
      <w:bookmarkEnd w:id="236"/>
      <w:bookmarkEnd w:id="237"/>
      <w:r>
        <w:rPr>
          <w:rFonts w:hint="eastAsia"/>
          <w:highlight w:val="none"/>
        </w:rPr>
        <w:t>比选人改变中标结果，或者中标人无正当理由放弃中标的，应当承担相应的法律责任。</w:t>
      </w:r>
    </w:p>
    <w:p w14:paraId="4C6A6767">
      <w:pPr>
        <w:pStyle w:val="3"/>
        <w:rPr>
          <w:highlight w:val="none"/>
        </w:rPr>
      </w:pPr>
      <w:bookmarkStart w:id="238" w:name="_Toc4229"/>
      <w:bookmarkStart w:id="239" w:name="_Toc2108"/>
      <w:bookmarkStart w:id="240" w:name="_Toc487650571"/>
      <w:bookmarkStart w:id="241" w:name="_Toc17059"/>
      <w:bookmarkStart w:id="242" w:name="_Toc22103"/>
      <w:bookmarkStart w:id="243" w:name="_Toc15939"/>
      <w:bookmarkStart w:id="244" w:name="_Toc25117"/>
      <w:bookmarkStart w:id="245" w:name="_Toc19895"/>
      <w:bookmarkStart w:id="246" w:name="_Toc16269"/>
      <w:bookmarkStart w:id="247" w:name="_Toc18380"/>
      <w:r>
        <w:rPr>
          <w:rFonts w:hint="eastAsia"/>
          <w:highlight w:val="none"/>
        </w:rPr>
        <w:t>6.签订及履行合同和验收</w:t>
      </w:r>
      <w:bookmarkEnd w:id="238"/>
      <w:bookmarkEnd w:id="239"/>
      <w:bookmarkEnd w:id="240"/>
      <w:bookmarkEnd w:id="241"/>
      <w:bookmarkEnd w:id="242"/>
      <w:bookmarkEnd w:id="243"/>
      <w:bookmarkEnd w:id="244"/>
      <w:bookmarkEnd w:id="245"/>
      <w:bookmarkEnd w:id="246"/>
      <w:bookmarkEnd w:id="247"/>
    </w:p>
    <w:p w14:paraId="79CFBAAF">
      <w:pPr>
        <w:pStyle w:val="5"/>
        <w:ind w:firstLine="562"/>
        <w:rPr>
          <w:highlight w:val="none"/>
        </w:rPr>
      </w:pPr>
      <w:bookmarkStart w:id="248" w:name="_Toc487650572"/>
      <w:r>
        <w:rPr>
          <w:rFonts w:hint="eastAsia"/>
          <w:highlight w:val="none"/>
        </w:rPr>
        <w:t>6.1签订合同</w:t>
      </w:r>
      <w:bookmarkEnd w:id="248"/>
    </w:p>
    <w:p w14:paraId="12514565">
      <w:pPr>
        <w:ind w:firstLine="480"/>
        <w:rPr>
          <w:rFonts w:ascii="宋体" w:hAnsi="宋体" w:cs="宋体"/>
          <w:szCs w:val="24"/>
          <w:highlight w:val="none"/>
        </w:rPr>
      </w:pPr>
      <w:r>
        <w:rPr>
          <w:rFonts w:hint="eastAsia" w:ascii="宋体" w:hAnsi="宋体"/>
          <w:szCs w:val="24"/>
          <w:highlight w:val="none"/>
        </w:rPr>
        <w:t>6.1.1 中标人在收到比选人发出的《中标通知书》后，应在30天内与比选人签订</w:t>
      </w:r>
      <w:r>
        <w:rPr>
          <w:rFonts w:hint="eastAsia" w:ascii="宋体" w:hAnsi="宋体" w:cs="宋体"/>
          <w:szCs w:val="24"/>
          <w:highlight w:val="none"/>
        </w:rPr>
        <w:t>合同。</w:t>
      </w:r>
    </w:p>
    <w:p w14:paraId="64AF2EA2">
      <w:pPr>
        <w:ind w:firstLine="480"/>
        <w:rPr>
          <w:rFonts w:ascii="宋体" w:hAnsi="宋体"/>
          <w:szCs w:val="24"/>
          <w:highlight w:val="none"/>
        </w:rPr>
      </w:pPr>
      <w:r>
        <w:rPr>
          <w:rFonts w:hint="eastAsia" w:ascii="宋体" w:hAnsi="宋体"/>
          <w:szCs w:val="24"/>
          <w:highlight w:val="none"/>
        </w:rPr>
        <w:t>由于中标人的原因逾期未与比选人签订合同的，将视为放弃中标，取消其中标资格并将按相关规定进行处理。</w:t>
      </w:r>
    </w:p>
    <w:p w14:paraId="15BADB42">
      <w:pPr>
        <w:ind w:firstLine="420" w:firstLineChars="175"/>
        <w:rPr>
          <w:rFonts w:ascii="宋体" w:hAnsi="宋体"/>
          <w:szCs w:val="24"/>
          <w:highlight w:val="none"/>
        </w:rPr>
      </w:pPr>
      <w:r>
        <w:rPr>
          <w:rFonts w:hint="eastAsia" w:ascii="宋体" w:hAnsi="宋体"/>
          <w:szCs w:val="24"/>
          <w:highlight w:val="none"/>
        </w:rPr>
        <w:t>6.1.2 比选人不得向中标人提出任何不合理的要求，作为签订合同的条件，不得与中标人私下订立背离合同实质性内容的任何协议，所签订的合同不得对比选文件和中标人比选申请文件作实质性修改。</w:t>
      </w:r>
    </w:p>
    <w:p w14:paraId="698EBCD3">
      <w:pPr>
        <w:ind w:firstLine="420" w:firstLineChars="175"/>
        <w:rPr>
          <w:rFonts w:ascii="宋体" w:hAnsi="宋体"/>
          <w:szCs w:val="24"/>
          <w:highlight w:val="none"/>
        </w:rPr>
      </w:pPr>
      <w:r>
        <w:rPr>
          <w:rFonts w:hint="eastAsia" w:ascii="宋体" w:hAnsi="宋体"/>
          <w:szCs w:val="24"/>
          <w:highlight w:val="none"/>
        </w:rPr>
        <w:t>6.1.3</w:t>
      </w:r>
      <w:bookmarkStart w:id="249" w:name="_Toc217446067"/>
      <w:bookmarkStart w:id="250" w:name="_Toc482004181"/>
      <w:r>
        <w:rPr>
          <w:rFonts w:hint="eastAsia" w:ascii="宋体" w:hAnsi="宋体"/>
          <w:szCs w:val="24"/>
          <w:highlight w:val="none"/>
        </w:rPr>
        <w:t xml:space="preserve"> 中标人因不可抗力原因不能</w:t>
      </w:r>
      <w:bookmarkEnd w:id="249"/>
      <w:r>
        <w:rPr>
          <w:rFonts w:hint="eastAsia" w:ascii="宋体" w:hAnsi="宋体"/>
          <w:szCs w:val="24"/>
          <w:highlight w:val="none"/>
        </w:rPr>
        <w:t>履</w:t>
      </w:r>
      <w:bookmarkEnd w:id="250"/>
      <w:r>
        <w:rPr>
          <w:rFonts w:hint="eastAsia" w:ascii="宋体" w:hAnsi="宋体"/>
          <w:szCs w:val="24"/>
          <w:highlight w:val="none"/>
        </w:rPr>
        <w:t>行合同或放弃中标的，比选人可以与排在中标人之后第一位的中标候选人签订合同，以此类推。</w:t>
      </w:r>
    </w:p>
    <w:p w14:paraId="69DE9457">
      <w:pPr>
        <w:pStyle w:val="5"/>
        <w:ind w:firstLine="562"/>
        <w:rPr>
          <w:highlight w:val="none"/>
        </w:rPr>
      </w:pPr>
      <w:bookmarkStart w:id="251" w:name="_Toc487650573"/>
      <w:r>
        <w:rPr>
          <w:rFonts w:hint="eastAsia"/>
          <w:highlight w:val="none"/>
        </w:rPr>
        <w:t>6.2比选人增加合同标的权利</w:t>
      </w:r>
      <w:bookmarkEnd w:id="251"/>
    </w:p>
    <w:p w14:paraId="4D65D150">
      <w:pPr>
        <w:widowControl/>
        <w:ind w:firstLine="480"/>
        <w:jc w:val="left"/>
        <w:rPr>
          <w:rFonts w:ascii="宋体" w:hAnsi="宋体" w:cs="宋体"/>
          <w:szCs w:val="24"/>
          <w:highlight w:val="none"/>
        </w:rPr>
      </w:pPr>
      <w:r>
        <w:rPr>
          <w:rFonts w:ascii="宋体" w:hAnsi="宋体" w:cs="宋体"/>
          <w:szCs w:val="24"/>
          <w:highlight w:val="none"/>
        </w:rPr>
        <w:t>合同履行过程中，</w:t>
      </w:r>
      <w:r>
        <w:rPr>
          <w:rFonts w:hint="eastAsia" w:ascii="宋体" w:hAnsi="宋体" w:cs="宋体"/>
          <w:szCs w:val="24"/>
          <w:highlight w:val="none"/>
        </w:rPr>
        <w:t>比选人</w:t>
      </w:r>
      <w:r>
        <w:rPr>
          <w:rFonts w:ascii="宋体" w:hAnsi="宋体" w:cs="宋体"/>
          <w:szCs w:val="24"/>
          <w:highlight w:val="none"/>
        </w:rPr>
        <w:t>需要追</w:t>
      </w:r>
      <w:bookmarkStart w:id="252" w:name="_Toc217446068"/>
      <w:bookmarkStart w:id="253" w:name="_Toc482004182"/>
      <w:r>
        <w:rPr>
          <w:rFonts w:ascii="宋体" w:hAnsi="宋体" w:cs="宋体"/>
          <w:szCs w:val="24"/>
          <w:highlight w:val="none"/>
        </w:rPr>
        <w:t>加货物或者服务的，</w:t>
      </w:r>
      <w:bookmarkEnd w:id="252"/>
      <w:bookmarkEnd w:id="253"/>
      <w:r>
        <w:rPr>
          <w:rFonts w:ascii="宋体" w:hAnsi="宋体" w:cs="宋体"/>
          <w:szCs w:val="24"/>
          <w:highlight w:val="none"/>
        </w:rPr>
        <w:t>在不改变合同其他条款的前提下，可以与中标人协商签订补充合同，补充合同与原合同具备同样的法律效益。</w:t>
      </w:r>
    </w:p>
    <w:p w14:paraId="1F66E5EC">
      <w:pPr>
        <w:pStyle w:val="5"/>
        <w:ind w:firstLine="562"/>
        <w:rPr>
          <w:highlight w:val="none"/>
        </w:rPr>
      </w:pPr>
      <w:bookmarkStart w:id="254" w:name="_Toc487650574"/>
      <w:r>
        <w:rPr>
          <w:rFonts w:hint="eastAsia"/>
          <w:highlight w:val="none"/>
        </w:rPr>
        <w:t>6.3履约保证金</w:t>
      </w:r>
      <w:bookmarkEnd w:id="254"/>
    </w:p>
    <w:p w14:paraId="508210DB">
      <w:pPr>
        <w:widowControl/>
        <w:ind w:firstLine="480"/>
        <w:jc w:val="left"/>
        <w:rPr>
          <w:rFonts w:cs="宋体"/>
          <w:highlight w:val="none"/>
        </w:rPr>
      </w:pPr>
      <w:r>
        <w:rPr>
          <w:rFonts w:hint="eastAsia"/>
          <w:highlight w:val="none"/>
        </w:rPr>
        <w:t>6.3.1 中标人应在收到中标通知书后7个工作日内向比选人支付</w:t>
      </w:r>
      <w:r>
        <w:rPr>
          <w:rFonts w:hint="eastAsia"/>
          <w:highlight w:val="none"/>
          <w:lang w:val="en-US" w:eastAsia="zh-CN"/>
        </w:rPr>
        <w:t>合同金额的5%作为</w:t>
      </w:r>
      <w:r>
        <w:rPr>
          <w:rFonts w:hint="eastAsia"/>
          <w:highlight w:val="none"/>
        </w:rPr>
        <w:t>履约保证金。履约保证金交至：</w:t>
      </w:r>
      <w:r>
        <w:rPr>
          <w:rFonts w:hint="eastAsia" w:hAnsi="宋体"/>
          <w:highlight w:val="none"/>
        </w:rPr>
        <w:t>四川都金山地轨道交通有限责任公司</w:t>
      </w:r>
      <w:r>
        <w:rPr>
          <w:rFonts w:hint="eastAsia"/>
          <w:highlight w:val="none"/>
          <w:u w:val="single"/>
        </w:rPr>
        <w:t>（开户行：</w:t>
      </w:r>
      <w:r>
        <w:rPr>
          <w:rFonts w:hint="eastAsia"/>
          <w:highlight w:val="none"/>
        </w:rPr>
        <w:t>中国银行股份有限公司都江堰支行</w:t>
      </w:r>
      <w:r>
        <w:rPr>
          <w:rFonts w:hint="eastAsia" w:cs="宋体"/>
          <w:highlight w:val="none"/>
          <w:u w:val="single"/>
        </w:rPr>
        <w:t>，银行账号：1239 6461 2168）。</w:t>
      </w:r>
    </w:p>
    <w:p w14:paraId="24D03E43">
      <w:pPr>
        <w:ind w:firstLine="480"/>
        <w:rPr>
          <w:highlight w:val="none"/>
        </w:rPr>
      </w:pPr>
      <w:r>
        <w:rPr>
          <w:rFonts w:hint="eastAsia"/>
          <w:highlight w:val="none"/>
        </w:rPr>
        <w:t>6.3.2 如果中标人在规定的合</w:t>
      </w:r>
      <w:bookmarkStart w:id="255" w:name="_Toc217446069"/>
      <w:bookmarkStart w:id="256" w:name="_Toc482004183"/>
      <w:r>
        <w:rPr>
          <w:rFonts w:hint="eastAsia"/>
          <w:highlight w:val="none"/>
        </w:rPr>
        <w:t>同签订时间内，没</w:t>
      </w:r>
      <w:bookmarkEnd w:id="255"/>
      <w:bookmarkEnd w:id="256"/>
      <w:r>
        <w:rPr>
          <w:rFonts w:hint="eastAsia"/>
          <w:highlight w:val="none"/>
        </w:rPr>
        <w:t>有按照比选文件的规定交纳履约保证金，且又无正当理由的，将视为放弃中标，其交纳的比选申请保证金将不与退还。</w:t>
      </w:r>
    </w:p>
    <w:p w14:paraId="3068E8C7">
      <w:pPr>
        <w:pStyle w:val="5"/>
        <w:ind w:firstLine="562"/>
        <w:rPr>
          <w:highlight w:val="none"/>
        </w:rPr>
      </w:pPr>
      <w:bookmarkStart w:id="257" w:name="_Toc487650575"/>
      <w:r>
        <w:rPr>
          <w:rFonts w:hint="eastAsia"/>
          <w:highlight w:val="none"/>
        </w:rPr>
        <w:t>6.4履行合同</w:t>
      </w:r>
      <w:bookmarkEnd w:id="257"/>
    </w:p>
    <w:p w14:paraId="36EA4888">
      <w:pPr>
        <w:ind w:firstLine="480"/>
        <w:rPr>
          <w:highlight w:val="none"/>
        </w:rPr>
      </w:pPr>
      <w:r>
        <w:rPr>
          <w:rFonts w:hint="eastAsia"/>
          <w:highlight w:val="none"/>
        </w:rPr>
        <w:t>6.4.1 中标人与比选人签订合同后，合同双方应严格执行合同条款，履行合同规定的义务，保证合同的顺利</w:t>
      </w:r>
      <w:bookmarkStart w:id="258" w:name="_Toc217446070"/>
      <w:bookmarkStart w:id="259" w:name="_Toc482004184"/>
      <w:r>
        <w:rPr>
          <w:rFonts w:hint="eastAsia"/>
          <w:highlight w:val="none"/>
        </w:rPr>
        <w:t>完成。</w:t>
      </w:r>
    </w:p>
    <w:bookmarkEnd w:id="258"/>
    <w:bookmarkEnd w:id="259"/>
    <w:p w14:paraId="496B7019">
      <w:pPr>
        <w:ind w:firstLine="480"/>
        <w:rPr>
          <w:highlight w:val="none"/>
        </w:rPr>
      </w:pPr>
      <w:bookmarkStart w:id="260" w:name="_Toc217446071"/>
      <w:r>
        <w:rPr>
          <w:rFonts w:hint="eastAsia"/>
          <w:highlight w:val="none"/>
        </w:rPr>
        <w:t>6.4.2 在合同履行过程中，如发生合同纠纷，</w:t>
      </w:r>
      <w:bookmarkStart w:id="261" w:name="_Toc482004185"/>
      <w:r>
        <w:rPr>
          <w:rFonts w:hint="eastAsia"/>
          <w:highlight w:val="none"/>
        </w:rPr>
        <w:t>合同双方应</w:t>
      </w:r>
      <w:bookmarkEnd w:id="234"/>
      <w:bookmarkEnd w:id="235"/>
      <w:bookmarkEnd w:id="260"/>
      <w:bookmarkEnd w:id="261"/>
      <w:bookmarkStart w:id="262" w:name="_Toc217446072"/>
      <w:bookmarkStart w:id="263" w:name="_Toc482004186"/>
      <w:bookmarkStart w:id="264" w:name="_Toc183582243"/>
      <w:bookmarkStart w:id="265" w:name="_Toc183682380"/>
      <w:r>
        <w:rPr>
          <w:rFonts w:hint="eastAsia"/>
          <w:highlight w:val="none"/>
        </w:rPr>
        <w:t>按照《合同法》及合同</w:t>
      </w:r>
      <w:bookmarkEnd w:id="262"/>
      <w:bookmarkEnd w:id="263"/>
      <w:r>
        <w:rPr>
          <w:rFonts w:hint="eastAsia"/>
          <w:highlight w:val="none"/>
        </w:rPr>
        <w:t>内容的有关规定进行处理。</w:t>
      </w:r>
    </w:p>
    <w:p w14:paraId="4CC42E9A">
      <w:pPr>
        <w:pStyle w:val="5"/>
        <w:ind w:firstLine="562"/>
        <w:rPr>
          <w:highlight w:val="none"/>
        </w:rPr>
      </w:pPr>
      <w:bookmarkStart w:id="266" w:name="_Toc487650576"/>
      <w:r>
        <w:rPr>
          <w:rFonts w:hint="eastAsia"/>
          <w:highlight w:val="none"/>
        </w:rPr>
        <w:t>6.5 验 收</w:t>
      </w:r>
      <w:bookmarkEnd w:id="266"/>
    </w:p>
    <w:p w14:paraId="58E248F6">
      <w:pPr>
        <w:pStyle w:val="6"/>
        <w:ind w:firstLine="480"/>
        <w:rPr>
          <w:rFonts w:ascii="宋体" w:hAnsi="宋体"/>
          <w:szCs w:val="24"/>
          <w:highlight w:val="none"/>
        </w:rPr>
      </w:pPr>
      <w:r>
        <w:rPr>
          <w:rFonts w:hint="eastAsia" w:ascii="宋体" w:hAnsi="宋体"/>
          <w:szCs w:val="24"/>
          <w:highlight w:val="none"/>
        </w:rPr>
        <w:t>中标人与比选人应严格按照合同标准要求进行验收。</w:t>
      </w:r>
    </w:p>
    <w:p w14:paraId="789C0F3E">
      <w:pPr>
        <w:pStyle w:val="3"/>
        <w:numPr>
          <w:ilvl w:val="0"/>
          <w:numId w:val="8"/>
        </w:numPr>
        <w:rPr>
          <w:highlight w:val="none"/>
        </w:rPr>
      </w:pPr>
      <w:bookmarkStart w:id="267" w:name="_Toc12720"/>
      <w:bookmarkStart w:id="268" w:name="_Toc20772"/>
      <w:bookmarkStart w:id="269" w:name="_Toc2934"/>
      <w:bookmarkStart w:id="270" w:name="_Toc31687"/>
      <w:bookmarkStart w:id="271" w:name="_Toc26205"/>
      <w:bookmarkStart w:id="272" w:name="_Toc16530"/>
      <w:bookmarkStart w:id="273" w:name="_Toc7853"/>
      <w:bookmarkStart w:id="274" w:name="_Toc4251"/>
      <w:bookmarkStart w:id="275" w:name="_Toc6220"/>
      <w:r>
        <w:rPr>
          <w:rFonts w:hint="eastAsia"/>
          <w:highlight w:val="none"/>
        </w:rPr>
        <w:t>重新</w:t>
      </w:r>
      <w:bookmarkEnd w:id="267"/>
      <w:bookmarkEnd w:id="268"/>
      <w:bookmarkEnd w:id="269"/>
      <w:bookmarkEnd w:id="270"/>
      <w:r>
        <w:rPr>
          <w:rFonts w:hint="eastAsia"/>
          <w:highlight w:val="none"/>
        </w:rPr>
        <w:t>比选</w:t>
      </w:r>
      <w:bookmarkEnd w:id="271"/>
      <w:bookmarkEnd w:id="272"/>
      <w:bookmarkEnd w:id="273"/>
      <w:bookmarkEnd w:id="274"/>
      <w:bookmarkEnd w:id="275"/>
    </w:p>
    <w:p w14:paraId="29BEFEB9">
      <w:pPr>
        <w:pStyle w:val="6"/>
        <w:ind w:firstLineChars="175"/>
        <w:rPr>
          <w:rFonts w:ascii="宋体" w:hAnsi="宋体"/>
          <w:szCs w:val="24"/>
          <w:highlight w:val="none"/>
        </w:rPr>
      </w:pPr>
      <w:bookmarkStart w:id="276" w:name="_Toc217446075"/>
      <w:bookmarkStart w:id="277" w:name="_Toc482004188"/>
      <w:r>
        <w:rPr>
          <w:rFonts w:hint="eastAsia" w:ascii="宋体" w:hAnsi="宋体"/>
          <w:szCs w:val="24"/>
          <w:highlight w:val="none"/>
        </w:rPr>
        <w:t>有下列情形之一的，比选人将重新比选：（1）比选申请截止时间，比选申请人少于三家的；（2）经评标委员会评审后否决所有比选申请的；</w:t>
      </w:r>
    </w:p>
    <w:bookmarkEnd w:id="276"/>
    <w:bookmarkEnd w:id="277"/>
    <w:p w14:paraId="386082FD">
      <w:pPr>
        <w:pStyle w:val="3"/>
        <w:rPr>
          <w:highlight w:val="none"/>
        </w:rPr>
      </w:pPr>
      <w:bookmarkStart w:id="278" w:name="_Toc31288"/>
      <w:bookmarkStart w:id="279" w:name="_Toc23424"/>
      <w:bookmarkStart w:id="280" w:name="_Toc6624"/>
      <w:bookmarkStart w:id="281" w:name="_Toc487650578"/>
      <w:bookmarkStart w:id="282" w:name="_Toc11188"/>
      <w:bookmarkStart w:id="283" w:name="_Toc2481"/>
      <w:bookmarkStart w:id="284" w:name="_Toc22810"/>
      <w:bookmarkStart w:id="285" w:name="_Toc6076"/>
      <w:bookmarkStart w:id="286" w:name="_Toc28775"/>
      <w:bookmarkStart w:id="287" w:name="_Toc31298"/>
      <w:r>
        <w:rPr>
          <w:rFonts w:hint="eastAsia"/>
          <w:highlight w:val="none"/>
        </w:rPr>
        <w:t>8.比选申请纪律要求</w:t>
      </w:r>
      <w:bookmarkEnd w:id="278"/>
      <w:bookmarkEnd w:id="279"/>
      <w:bookmarkEnd w:id="280"/>
      <w:bookmarkEnd w:id="281"/>
      <w:bookmarkEnd w:id="282"/>
      <w:bookmarkEnd w:id="283"/>
      <w:bookmarkEnd w:id="284"/>
      <w:bookmarkEnd w:id="285"/>
      <w:bookmarkEnd w:id="286"/>
      <w:bookmarkEnd w:id="287"/>
    </w:p>
    <w:p w14:paraId="1C5C138F">
      <w:pPr>
        <w:pStyle w:val="6"/>
        <w:ind w:firstLine="480"/>
        <w:rPr>
          <w:rFonts w:ascii="宋体" w:hAnsi="宋体"/>
          <w:szCs w:val="24"/>
          <w:highlight w:val="none"/>
        </w:rPr>
      </w:pPr>
      <w:r>
        <w:rPr>
          <w:rFonts w:hint="eastAsia" w:ascii="宋体" w:hAnsi="宋体"/>
          <w:szCs w:val="24"/>
          <w:highlight w:val="none"/>
        </w:rPr>
        <w:t>比选申请人参加比选申请不得有下列情形：</w:t>
      </w:r>
    </w:p>
    <w:p w14:paraId="255FA515">
      <w:pPr>
        <w:ind w:firstLine="460" w:firstLineChars="192"/>
        <w:rPr>
          <w:rFonts w:ascii="宋体" w:hAnsi="宋体"/>
          <w:szCs w:val="24"/>
          <w:highlight w:val="none"/>
        </w:rPr>
      </w:pPr>
      <w:r>
        <w:rPr>
          <w:rFonts w:hint="eastAsia" w:ascii="宋体" w:hAnsi="宋体"/>
          <w:szCs w:val="24"/>
          <w:highlight w:val="none"/>
        </w:rPr>
        <w:t>（</w:t>
      </w:r>
      <w:r>
        <w:rPr>
          <w:rFonts w:ascii="宋体" w:hAnsi="宋体"/>
          <w:szCs w:val="24"/>
          <w:highlight w:val="none"/>
        </w:rPr>
        <w:t>1</w:t>
      </w:r>
      <w:r>
        <w:rPr>
          <w:rFonts w:hint="eastAsia" w:ascii="宋体" w:hAnsi="宋体"/>
          <w:szCs w:val="24"/>
          <w:highlight w:val="none"/>
        </w:rPr>
        <w:t>）提供虚假材料谋取中标；</w:t>
      </w:r>
    </w:p>
    <w:p w14:paraId="20E1DEFD">
      <w:pPr>
        <w:ind w:firstLine="460" w:firstLineChars="192"/>
        <w:rPr>
          <w:rFonts w:ascii="宋体" w:hAnsi="宋体"/>
          <w:szCs w:val="24"/>
          <w:highlight w:val="none"/>
        </w:rPr>
      </w:pPr>
      <w:r>
        <w:rPr>
          <w:rFonts w:hint="eastAsia" w:ascii="宋体" w:hAnsi="宋体"/>
          <w:szCs w:val="24"/>
          <w:highlight w:val="none"/>
        </w:rPr>
        <w:t>（</w:t>
      </w:r>
      <w:r>
        <w:rPr>
          <w:rFonts w:ascii="宋体" w:hAnsi="宋体"/>
          <w:szCs w:val="24"/>
          <w:highlight w:val="none"/>
        </w:rPr>
        <w:t>2</w:t>
      </w:r>
      <w:r>
        <w:rPr>
          <w:rFonts w:hint="eastAsia" w:ascii="宋体" w:hAnsi="宋体"/>
          <w:szCs w:val="24"/>
          <w:highlight w:val="none"/>
        </w:rPr>
        <w:t>）采取不正当手段诋毁、排挤其他比选申请人；</w:t>
      </w:r>
    </w:p>
    <w:p w14:paraId="0E0D15A9">
      <w:pPr>
        <w:ind w:firstLine="480"/>
        <w:rPr>
          <w:rFonts w:ascii="宋体" w:hAnsi="宋体"/>
          <w:szCs w:val="24"/>
          <w:highlight w:val="none"/>
        </w:rPr>
      </w:pPr>
      <w:r>
        <w:rPr>
          <w:rFonts w:hint="eastAsia" w:ascii="宋体" w:hAnsi="宋体"/>
          <w:szCs w:val="24"/>
          <w:highlight w:val="none"/>
        </w:rPr>
        <w:t>（3）与比选人、其他比选申请人恶意串通；</w:t>
      </w:r>
    </w:p>
    <w:p w14:paraId="4D5FF27E">
      <w:pPr>
        <w:ind w:firstLine="480"/>
        <w:rPr>
          <w:rFonts w:ascii="宋体" w:hAnsi="宋体"/>
          <w:szCs w:val="24"/>
          <w:highlight w:val="none"/>
        </w:rPr>
      </w:pPr>
      <w:r>
        <w:rPr>
          <w:rFonts w:hint="eastAsia" w:ascii="宋体" w:hAnsi="宋体"/>
          <w:szCs w:val="24"/>
          <w:highlight w:val="none"/>
        </w:rPr>
        <w:t>（4）向比选人、评标委员会成员行贿或者提供其他不正当利益；</w:t>
      </w:r>
    </w:p>
    <w:p w14:paraId="44F1CD59">
      <w:pPr>
        <w:pStyle w:val="25"/>
        <w:tabs>
          <w:tab w:val="left" w:pos="720"/>
        </w:tabs>
        <w:ind w:firstLine="460" w:firstLineChars="192"/>
        <w:rPr>
          <w:rFonts w:ascii="宋体" w:hAnsi="宋体"/>
          <w:sz w:val="24"/>
          <w:szCs w:val="24"/>
          <w:highlight w:val="none"/>
        </w:rPr>
      </w:pPr>
      <w:r>
        <w:rPr>
          <w:rFonts w:hint="eastAsia" w:ascii="宋体" w:hAnsi="宋体"/>
          <w:sz w:val="24"/>
          <w:szCs w:val="24"/>
          <w:highlight w:val="none"/>
        </w:rPr>
        <w:t>（5）在比选过程中与比选人进行协商谈判；</w:t>
      </w:r>
    </w:p>
    <w:p w14:paraId="2321269B">
      <w:pPr>
        <w:pStyle w:val="25"/>
        <w:ind w:firstLine="480"/>
        <w:rPr>
          <w:rFonts w:ascii="宋体" w:hAnsi="宋体"/>
          <w:sz w:val="24"/>
          <w:szCs w:val="24"/>
          <w:highlight w:val="none"/>
        </w:rPr>
      </w:pPr>
      <w:r>
        <w:rPr>
          <w:rFonts w:hint="eastAsia" w:ascii="宋体" w:hAnsi="宋体"/>
          <w:sz w:val="24"/>
          <w:szCs w:val="24"/>
          <w:highlight w:val="none"/>
        </w:rPr>
        <w:t>（6）拒绝有关</w:t>
      </w:r>
      <w:bookmarkStart w:id="288" w:name="_Toc217446076"/>
      <w:bookmarkStart w:id="289" w:name="_Toc482004189"/>
      <w:r>
        <w:rPr>
          <w:rFonts w:hint="eastAsia" w:ascii="宋体" w:hAnsi="宋体"/>
          <w:sz w:val="24"/>
          <w:szCs w:val="24"/>
          <w:highlight w:val="none"/>
        </w:rPr>
        <w:t>部门</w:t>
      </w:r>
      <w:bookmarkEnd w:id="288"/>
      <w:r>
        <w:rPr>
          <w:rFonts w:hint="eastAsia" w:ascii="宋体" w:hAnsi="宋体"/>
          <w:sz w:val="24"/>
          <w:szCs w:val="24"/>
          <w:highlight w:val="none"/>
        </w:rPr>
        <w:t>的监督</w:t>
      </w:r>
      <w:bookmarkEnd w:id="289"/>
      <w:bookmarkStart w:id="290" w:name="_Toc217446078"/>
      <w:r>
        <w:rPr>
          <w:rFonts w:hint="eastAsia" w:ascii="宋体" w:hAnsi="宋体"/>
          <w:sz w:val="24"/>
          <w:szCs w:val="24"/>
          <w:highlight w:val="none"/>
        </w:rPr>
        <w:t>评审或者向监督评审部门提供虚假情况。</w:t>
      </w:r>
    </w:p>
    <w:bookmarkEnd w:id="0"/>
    <w:bookmarkEnd w:id="264"/>
    <w:bookmarkEnd w:id="265"/>
    <w:bookmarkEnd w:id="290"/>
    <w:p w14:paraId="3245EA1A">
      <w:pPr>
        <w:pStyle w:val="6"/>
        <w:ind w:firstLine="480"/>
        <w:rPr>
          <w:rFonts w:ascii="宋体" w:hAnsi="宋体"/>
          <w:szCs w:val="24"/>
          <w:highlight w:val="none"/>
        </w:rPr>
      </w:pPr>
      <w:r>
        <w:rPr>
          <w:rFonts w:hint="eastAsia" w:ascii="宋体" w:hAnsi="宋体"/>
          <w:szCs w:val="24"/>
          <w:highlight w:val="none"/>
        </w:rPr>
        <w:t>有上述情形之一的比选申请人，属于不合格比选申请人，其比选申请或中标资格将被取消。</w:t>
      </w:r>
    </w:p>
    <w:p w14:paraId="50431885">
      <w:pPr>
        <w:pStyle w:val="3"/>
        <w:rPr>
          <w:highlight w:val="none"/>
        </w:rPr>
      </w:pPr>
      <w:bookmarkStart w:id="291" w:name="_Toc31369"/>
      <w:bookmarkStart w:id="292" w:name="_Toc859"/>
      <w:bookmarkStart w:id="293" w:name="_Toc15504"/>
      <w:bookmarkStart w:id="294" w:name="_Toc11907"/>
      <w:bookmarkStart w:id="295" w:name="_Toc4144"/>
      <w:bookmarkStart w:id="296" w:name="_Toc13631"/>
      <w:bookmarkStart w:id="297" w:name="_Toc25311"/>
      <w:bookmarkStart w:id="298" w:name="_Toc7599"/>
      <w:bookmarkStart w:id="299" w:name="_Toc487650579"/>
      <w:bookmarkStart w:id="300" w:name="_Toc3202"/>
      <w:r>
        <w:rPr>
          <w:rFonts w:hint="eastAsia"/>
          <w:highlight w:val="none"/>
        </w:rPr>
        <w:t>9.资金支付</w:t>
      </w:r>
      <w:bookmarkEnd w:id="291"/>
      <w:bookmarkEnd w:id="292"/>
      <w:bookmarkEnd w:id="293"/>
      <w:bookmarkEnd w:id="294"/>
      <w:bookmarkEnd w:id="295"/>
      <w:bookmarkEnd w:id="296"/>
      <w:bookmarkEnd w:id="297"/>
      <w:bookmarkEnd w:id="298"/>
      <w:bookmarkEnd w:id="299"/>
      <w:bookmarkEnd w:id="300"/>
    </w:p>
    <w:p w14:paraId="16A1518A">
      <w:pPr>
        <w:ind w:firstLine="480"/>
        <w:rPr>
          <w:rFonts w:ascii="宋体" w:hAnsi="宋体"/>
          <w:szCs w:val="24"/>
          <w:highlight w:val="none"/>
        </w:rPr>
      </w:pPr>
      <w:r>
        <w:rPr>
          <w:rFonts w:hint="eastAsia" w:ascii="宋体" w:hAnsi="宋体"/>
          <w:szCs w:val="24"/>
          <w:highlight w:val="none"/>
        </w:rPr>
        <w:t>以中标比选申请单位与比选人签订合同约定为准。</w:t>
      </w:r>
    </w:p>
    <w:p w14:paraId="3A29C19A">
      <w:pPr>
        <w:pStyle w:val="3"/>
        <w:rPr>
          <w:highlight w:val="none"/>
        </w:rPr>
      </w:pPr>
      <w:bookmarkStart w:id="301" w:name="_Toc487650580"/>
      <w:bookmarkStart w:id="302" w:name="_Toc3872"/>
      <w:bookmarkStart w:id="303" w:name="_Toc26102"/>
      <w:bookmarkStart w:id="304" w:name="_Toc27062"/>
      <w:bookmarkStart w:id="305" w:name="_Toc25999"/>
      <w:bookmarkStart w:id="306" w:name="_Toc24914"/>
      <w:bookmarkStart w:id="307" w:name="_Toc23014"/>
      <w:bookmarkStart w:id="308" w:name="_Toc13705"/>
      <w:bookmarkStart w:id="309" w:name="_Toc16839"/>
      <w:bookmarkStart w:id="310" w:name="_Toc1520"/>
      <w:r>
        <w:rPr>
          <w:rFonts w:hint="eastAsia"/>
          <w:highlight w:val="none"/>
        </w:rPr>
        <w:t>10.监督部门</w:t>
      </w:r>
      <w:bookmarkEnd w:id="301"/>
      <w:bookmarkEnd w:id="302"/>
      <w:bookmarkEnd w:id="303"/>
      <w:bookmarkEnd w:id="304"/>
      <w:bookmarkEnd w:id="305"/>
      <w:bookmarkEnd w:id="306"/>
      <w:bookmarkEnd w:id="307"/>
      <w:bookmarkEnd w:id="308"/>
      <w:bookmarkEnd w:id="309"/>
      <w:bookmarkEnd w:id="310"/>
    </w:p>
    <w:p w14:paraId="19EB11D8">
      <w:pPr>
        <w:ind w:firstLine="480"/>
        <w:rPr>
          <w:rFonts w:ascii="宋体" w:hAnsi="宋体"/>
          <w:szCs w:val="24"/>
          <w:highlight w:val="none"/>
        </w:rPr>
      </w:pPr>
      <w:r>
        <w:rPr>
          <w:rFonts w:hint="eastAsia" w:ascii="宋体" w:hAnsi="宋体"/>
          <w:szCs w:val="24"/>
          <w:highlight w:val="none"/>
        </w:rPr>
        <w:t>10.1 本项目监督机构</w:t>
      </w:r>
      <w:bookmarkStart w:id="311" w:name="_Toc482004192"/>
      <w:r>
        <w:rPr>
          <w:rFonts w:hint="eastAsia" w:ascii="宋体" w:hAnsi="宋体"/>
          <w:szCs w:val="24"/>
          <w:highlight w:val="none"/>
        </w:rPr>
        <w:t>为公司</w:t>
      </w:r>
      <w:bookmarkEnd w:id="311"/>
      <w:bookmarkStart w:id="312" w:name="_Toc482004193"/>
      <w:r>
        <w:rPr>
          <w:rFonts w:hint="eastAsia" w:ascii="宋体" w:hAnsi="宋体"/>
          <w:szCs w:val="24"/>
          <w:highlight w:val="none"/>
        </w:rPr>
        <w:t>纪检办公室。</w:t>
      </w:r>
    </w:p>
    <w:p w14:paraId="1573D55B">
      <w:pPr>
        <w:ind w:firstLine="480"/>
        <w:rPr>
          <w:rFonts w:ascii="宋体" w:hAnsi="宋体"/>
          <w:szCs w:val="24"/>
          <w:highlight w:val="none"/>
        </w:rPr>
      </w:pPr>
      <w:r>
        <w:rPr>
          <w:rFonts w:hint="eastAsia" w:ascii="宋体" w:hAnsi="宋体"/>
          <w:szCs w:val="24"/>
          <w:highlight w:val="none"/>
        </w:rPr>
        <w:t>1</w:t>
      </w:r>
      <w:bookmarkEnd w:id="312"/>
      <w:r>
        <w:rPr>
          <w:rFonts w:hint="eastAsia" w:ascii="宋体" w:hAnsi="宋体"/>
          <w:szCs w:val="24"/>
          <w:highlight w:val="none"/>
        </w:rPr>
        <w:t>0.2 本项目质疑、投诉的接收和处理严格按照公司相关管理办法和实施细则的规定办理。</w:t>
      </w:r>
    </w:p>
    <w:p w14:paraId="1DE4C91F">
      <w:pPr>
        <w:pStyle w:val="2"/>
        <w:rPr>
          <w:highlight w:val="none"/>
        </w:rPr>
      </w:pPr>
      <w:r>
        <w:rPr>
          <w:highlight w:val="none"/>
        </w:rPr>
        <w:br w:type="page"/>
      </w:r>
      <w:bookmarkStart w:id="313" w:name="_Toc487650581"/>
      <w:bookmarkStart w:id="314" w:name="_Toc32277"/>
      <w:bookmarkStart w:id="315" w:name="_Toc15985"/>
      <w:bookmarkStart w:id="316" w:name="_Toc25347"/>
      <w:bookmarkStart w:id="317" w:name="_Toc5291"/>
      <w:bookmarkStart w:id="318" w:name="_Toc4706"/>
      <w:bookmarkStart w:id="319" w:name="_Toc4041"/>
      <w:bookmarkStart w:id="320" w:name="_Toc23626"/>
      <w:bookmarkStart w:id="321" w:name="_Toc24306"/>
      <w:bookmarkStart w:id="322" w:name="_Toc20729"/>
      <w:r>
        <w:rPr>
          <w:rFonts w:hint="eastAsia"/>
          <w:highlight w:val="none"/>
        </w:rPr>
        <w:t>第四章  比选办法</w:t>
      </w:r>
      <w:bookmarkEnd w:id="313"/>
      <w:bookmarkEnd w:id="314"/>
      <w:bookmarkEnd w:id="315"/>
      <w:bookmarkEnd w:id="316"/>
      <w:bookmarkEnd w:id="317"/>
      <w:bookmarkEnd w:id="318"/>
      <w:bookmarkEnd w:id="319"/>
      <w:bookmarkEnd w:id="320"/>
      <w:bookmarkEnd w:id="321"/>
      <w:bookmarkEnd w:id="322"/>
    </w:p>
    <w:p w14:paraId="4C7F4188">
      <w:pPr>
        <w:pStyle w:val="3"/>
        <w:rPr>
          <w:highlight w:val="none"/>
        </w:rPr>
      </w:pPr>
      <w:bookmarkStart w:id="323" w:name="_Toc31783"/>
      <w:bookmarkStart w:id="324" w:name="_Toc21953"/>
      <w:bookmarkStart w:id="325" w:name="_Toc1768"/>
      <w:bookmarkStart w:id="326" w:name="_Toc31584"/>
      <w:bookmarkStart w:id="327" w:name="_Toc23458"/>
      <w:bookmarkStart w:id="328" w:name="_Toc21692"/>
      <w:bookmarkStart w:id="329" w:name="_Toc487650582"/>
      <w:bookmarkStart w:id="330" w:name="_Toc6435"/>
      <w:bookmarkStart w:id="331" w:name="_Toc13442"/>
      <w:bookmarkStart w:id="332" w:name="_Toc22526"/>
      <w:r>
        <w:rPr>
          <w:rFonts w:hint="eastAsia"/>
          <w:highlight w:val="none"/>
        </w:rPr>
        <w:t>1. 总 则</w:t>
      </w:r>
      <w:bookmarkEnd w:id="323"/>
      <w:bookmarkEnd w:id="324"/>
      <w:bookmarkEnd w:id="325"/>
      <w:bookmarkEnd w:id="326"/>
      <w:bookmarkEnd w:id="327"/>
      <w:bookmarkEnd w:id="328"/>
      <w:bookmarkEnd w:id="329"/>
      <w:bookmarkEnd w:id="330"/>
      <w:bookmarkEnd w:id="331"/>
      <w:bookmarkEnd w:id="332"/>
    </w:p>
    <w:p w14:paraId="09EA5A13">
      <w:pPr>
        <w:ind w:firstLine="480"/>
        <w:rPr>
          <w:rFonts w:hAnsi="宋体"/>
          <w:highlight w:val="none"/>
        </w:rPr>
      </w:pPr>
      <w:r>
        <w:rPr>
          <w:rFonts w:hint="eastAsia" w:hAnsi="宋体"/>
          <w:highlight w:val="none"/>
        </w:rPr>
        <w:t>1.1 根据相关法律法规，结合比选项目特点制定本比选办法。</w:t>
      </w:r>
    </w:p>
    <w:p w14:paraId="5E933E0D">
      <w:pPr>
        <w:ind w:firstLine="480"/>
        <w:rPr>
          <w:rFonts w:hAnsi="宋体"/>
          <w:highlight w:val="none"/>
        </w:rPr>
      </w:pPr>
      <w:r>
        <w:rPr>
          <w:rFonts w:hint="eastAsia" w:hAnsi="宋体"/>
          <w:highlight w:val="none"/>
        </w:rPr>
        <w:t xml:space="preserve">1.2 </w:t>
      </w:r>
      <w:r>
        <w:rPr>
          <w:rFonts w:hint="eastAsia"/>
          <w:szCs w:val="24"/>
          <w:highlight w:val="none"/>
        </w:rPr>
        <w:t>评标委员会</w:t>
      </w:r>
      <w:r>
        <w:rPr>
          <w:rFonts w:hint="eastAsia"/>
          <w:szCs w:val="24"/>
          <w:highlight w:val="none"/>
          <w:lang w:eastAsia="zh-CN"/>
        </w:rPr>
        <w:t>：</w:t>
      </w:r>
      <w:r>
        <w:rPr>
          <w:rFonts w:hint="eastAsia"/>
          <w:szCs w:val="24"/>
          <w:highlight w:val="none"/>
          <w:lang w:val="en-US" w:eastAsia="zh-CN"/>
        </w:rPr>
        <w:t>3人，</w:t>
      </w:r>
      <w:r>
        <w:rPr>
          <w:rFonts w:hint="eastAsia" w:hAnsi="宋体"/>
          <w:highlight w:val="none"/>
        </w:rPr>
        <w:t>比选</w:t>
      </w:r>
      <w:r>
        <w:rPr>
          <w:rFonts w:hAnsi="宋体"/>
          <w:highlight w:val="none"/>
        </w:rPr>
        <w:t>工作由</w:t>
      </w:r>
      <w:r>
        <w:rPr>
          <w:rFonts w:hint="eastAsia" w:hAnsi="宋体"/>
          <w:highlight w:val="none"/>
        </w:rPr>
        <w:t>评标委员</w:t>
      </w:r>
      <w:r>
        <w:rPr>
          <w:rFonts w:hAnsi="宋体"/>
          <w:highlight w:val="none"/>
        </w:rPr>
        <w:t>会组长主持。每位</w:t>
      </w:r>
      <w:r>
        <w:rPr>
          <w:rFonts w:hint="eastAsia" w:hAnsi="宋体"/>
          <w:highlight w:val="none"/>
          <w:lang w:val="en-US" w:eastAsia="zh-CN"/>
        </w:rPr>
        <w:t>评标委员会成员</w:t>
      </w:r>
      <w:r>
        <w:rPr>
          <w:rFonts w:hAnsi="宋体"/>
          <w:highlight w:val="none"/>
        </w:rPr>
        <w:t>独立</w:t>
      </w:r>
      <w:r>
        <w:rPr>
          <w:rFonts w:hint="eastAsia" w:hAnsi="宋体"/>
          <w:highlight w:val="none"/>
        </w:rPr>
        <w:t>比选</w:t>
      </w:r>
      <w:r>
        <w:rPr>
          <w:rFonts w:hAnsi="宋体"/>
          <w:highlight w:val="none"/>
        </w:rPr>
        <w:t>打分，任何人不得通过任何方式，干扰</w:t>
      </w:r>
      <w:r>
        <w:rPr>
          <w:rFonts w:hint="eastAsia" w:hAnsi="宋体"/>
          <w:highlight w:val="none"/>
        </w:rPr>
        <w:t>评标委员</w:t>
      </w:r>
      <w:r>
        <w:rPr>
          <w:rFonts w:hAnsi="宋体"/>
          <w:highlight w:val="none"/>
        </w:rPr>
        <w:t>会的</w:t>
      </w:r>
      <w:r>
        <w:rPr>
          <w:rFonts w:hint="eastAsia" w:hAnsi="宋体"/>
          <w:highlight w:val="none"/>
        </w:rPr>
        <w:t>比选</w:t>
      </w:r>
      <w:r>
        <w:rPr>
          <w:rFonts w:hAnsi="宋体"/>
          <w:highlight w:val="none"/>
        </w:rPr>
        <w:t>。</w:t>
      </w:r>
    </w:p>
    <w:p w14:paraId="7C4CEB4F">
      <w:pPr>
        <w:ind w:firstLine="480"/>
        <w:rPr>
          <w:rFonts w:hAnsi="宋体"/>
          <w:highlight w:val="none"/>
        </w:rPr>
      </w:pPr>
      <w:r>
        <w:rPr>
          <w:rFonts w:hint="eastAsia" w:hAnsi="宋体"/>
          <w:highlight w:val="none"/>
        </w:rPr>
        <w:t>1.3 比选工作应遵循公平、公正、科学及择优的原则，并以相同的比选程序和标准对待所有的比选申请人。</w:t>
      </w:r>
    </w:p>
    <w:p w14:paraId="76A4F922">
      <w:pPr>
        <w:ind w:firstLine="480"/>
        <w:rPr>
          <w:rFonts w:hAnsi="宋体"/>
          <w:highlight w:val="none"/>
        </w:rPr>
      </w:pPr>
      <w:r>
        <w:rPr>
          <w:rFonts w:hint="eastAsia" w:hAnsi="宋体"/>
          <w:highlight w:val="none"/>
        </w:rPr>
        <w:t>1.4 评标委员会按照比选文件规定的比选方法和标准进行比选，并独立履行下列职责：</w:t>
      </w:r>
    </w:p>
    <w:p w14:paraId="2B2C4252">
      <w:pPr>
        <w:ind w:firstLine="480"/>
        <w:rPr>
          <w:rFonts w:hAnsi="宋体"/>
          <w:highlight w:val="none"/>
        </w:rPr>
      </w:pPr>
      <w:r>
        <w:rPr>
          <w:rFonts w:hint="eastAsia" w:hAnsi="宋体"/>
          <w:highlight w:val="none"/>
        </w:rPr>
        <w:t>（1）审查比选申请文件是否符合比选文件要求，并作出评价；</w:t>
      </w:r>
    </w:p>
    <w:p w14:paraId="44F0D2D1">
      <w:pPr>
        <w:ind w:firstLine="480"/>
        <w:rPr>
          <w:rFonts w:hAnsi="宋体"/>
          <w:highlight w:val="none"/>
        </w:rPr>
      </w:pPr>
      <w:r>
        <w:rPr>
          <w:rFonts w:hint="eastAsia" w:hAnsi="宋体"/>
          <w:highlight w:val="none"/>
        </w:rPr>
        <w:t>（2）要求</w:t>
      </w:r>
      <w:bookmarkStart w:id="333" w:name="_Toc482004194"/>
      <w:r>
        <w:rPr>
          <w:rFonts w:hint="eastAsia" w:hAnsi="宋体"/>
          <w:highlight w:val="none"/>
        </w:rPr>
        <w:t>比选申请比选申请单位对</w:t>
      </w:r>
      <w:bookmarkEnd w:id="333"/>
      <w:r>
        <w:rPr>
          <w:rFonts w:hint="eastAsia" w:hAnsi="宋体"/>
          <w:highlight w:val="none"/>
        </w:rPr>
        <w:t>比选申请文件有关事项作出解释或者澄清；</w:t>
      </w:r>
    </w:p>
    <w:p w14:paraId="4E092E51">
      <w:pPr>
        <w:ind w:firstLine="480"/>
        <w:rPr>
          <w:rFonts w:hAnsi="宋体"/>
          <w:highlight w:val="none"/>
        </w:rPr>
      </w:pPr>
      <w:r>
        <w:rPr>
          <w:rFonts w:hint="eastAsia" w:hAnsi="宋体"/>
          <w:highlight w:val="none"/>
        </w:rPr>
        <w:t>（3）推荐中标候选比选申请单位名单；</w:t>
      </w:r>
    </w:p>
    <w:p w14:paraId="46A8238A">
      <w:pPr>
        <w:ind w:firstLine="480"/>
        <w:rPr>
          <w:highlight w:val="none"/>
        </w:rPr>
      </w:pPr>
      <w:r>
        <w:rPr>
          <w:rFonts w:hint="eastAsia"/>
          <w:highlight w:val="none"/>
        </w:rPr>
        <w:t>（4）向比选人或者有关部门报告非法干预比选工作的行为。</w:t>
      </w:r>
    </w:p>
    <w:p w14:paraId="4630F071">
      <w:pPr>
        <w:pStyle w:val="3"/>
        <w:numPr>
          <w:ilvl w:val="0"/>
          <w:numId w:val="9"/>
        </w:numPr>
        <w:rPr>
          <w:highlight w:val="none"/>
        </w:rPr>
      </w:pPr>
      <w:bookmarkStart w:id="334" w:name="_Toc20159"/>
      <w:bookmarkStart w:id="335" w:name="_Toc19397"/>
      <w:bookmarkStart w:id="336" w:name="_Toc20668"/>
      <w:bookmarkStart w:id="337" w:name="_Toc487650583"/>
      <w:bookmarkStart w:id="338" w:name="_Toc4411"/>
      <w:bookmarkStart w:id="339" w:name="_Toc31895"/>
      <w:bookmarkStart w:id="340" w:name="_Toc9208"/>
      <w:bookmarkStart w:id="341" w:name="_Toc18825"/>
      <w:bookmarkStart w:id="342" w:name="_Toc28039"/>
      <w:bookmarkStart w:id="343" w:name="_Toc2671"/>
      <w:r>
        <w:rPr>
          <w:rFonts w:hint="eastAsia"/>
          <w:highlight w:val="none"/>
        </w:rPr>
        <w:t>比选程序</w:t>
      </w:r>
      <w:bookmarkEnd w:id="334"/>
      <w:bookmarkEnd w:id="335"/>
      <w:bookmarkEnd w:id="336"/>
      <w:bookmarkEnd w:id="337"/>
      <w:bookmarkEnd w:id="338"/>
      <w:bookmarkEnd w:id="339"/>
      <w:bookmarkEnd w:id="340"/>
      <w:bookmarkEnd w:id="341"/>
      <w:bookmarkEnd w:id="342"/>
      <w:bookmarkEnd w:id="343"/>
    </w:p>
    <w:p w14:paraId="7DBDA804">
      <w:pPr>
        <w:ind w:left="470" w:firstLine="0" w:firstLineChars="0"/>
        <w:rPr>
          <w:rFonts w:ascii="宋体" w:hAnsi="宋体"/>
          <w:highlight w:val="none"/>
        </w:rPr>
      </w:pPr>
      <w:r>
        <w:rPr>
          <w:rFonts w:hint="eastAsia" w:ascii="宋体" w:hAnsi="宋体"/>
          <w:highlight w:val="none"/>
        </w:rPr>
        <w:t>2.1 资格性评审</w:t>
      </w:r>
    </w:p>
    <w:p w14:paraId="54603BE6">
      <w:pPr>
        <w:ind w:left="470" w:firstLine="0" w:firstLineChars="0"/>
        <w:rPr>
          <w:rFonts w:ascii="宋体" w:hAnsi="宋体"/>
          <w:highlight w:val="none"/>
        </w:rPr>
      </w:pPr>
      <w:r>
        <w:rPr>
          <w:rFonts w:hint="eastAsia" w:ascii="宋体" w:hAnsi="宋体"/>
          <w:highlight w:val="none"/>
        </w:rPr>
        <w:t>2.2 符合性</w:t>
      </w:r>
      <w:r>
        <w:rPr>
          <w:rFonts w:ascii="宋体" w:hAnsi="宋体"/>
          <w:highlight w:val="none"/>
        </w:rPr>
        <w:t>评审</w:t>
      </w:r>
    </w:p>
    <w:p w14:paraId="17304FEF">
      <w:pPr>
        <w:pStyle w:val="52"/>
        <w:ind w:firstLine="480"/>
        <w:rPr>
          <w:rFonts w:ascii="宋体" w:hAnsi="宋体"/>
          <w:highlight w:val="none"/>
        </w:rPr>
      </w:pPr>
      <w:r>
        <w:rPr>
          <w:rFonts w:hint="eastAsia" w:ascii="宋体" w:hAnsi="宋体"/>
          <w:highlight w:val="none"/>
        </w:rPr>
        <w:t>2.3 详细评审</w:t>
      </w:r>
    </w:p>
    <w:p w14:paraId="3BC3FF4A">
      <w:pPr>
        <w:pStyle w:val="52"/>
        <w:ind w:firstLine="480"/>
        <w:rPr>
          <w:rFonts w:ascii="宋体" w:hAnsi="宋体"/>
          <w:highlight w:val="none"/>
        </w:rPr>
      </w:pPr>
      <w:r>
        <w:rPr>
          <w:rFonts w:hint="eastAsia" w:ascii="宋体" w:hAnsi="宋体"/>
          <w:highlight w:val="none"/>
        </w:rPr>
        <w:t xml:space="preserve">2.4 </w:t>
      </w:r>
      <w:r>
        <w:rPr>
          <w:rFonts w:ascii="宋体" w:hAnsi="宋体"/>
          <w:highlight w:val="none"/>
        </w:rPr>
        <w:t>推荐中标候选人</w:t>
      </w:r>
    </w:p>
    <w:p w14:paraId="73FAB759">
      <w:pPr>
        <w:pStyle w:val="3"/>
        <w:numPr>
          <w:ilvl w:val="0"/>
          <w:numId w:val="9"/>
        </w:numPr>
        <w:rPr>
          <w:highlight w:val="none"/>
        </w:rPr>
      </w:pPr>
      <w:bookmarkStart w:id="344" w:name="_Toc32176"/>
      <w:bookmarkStart w:id="345" w:name="_Toc4062"/>
      <w:bookmarkStart w:id="346" w:name="_Toc32579"/>
      <w:bookmarkStart w:id="347" w:name="_Toc14434"/>
      <w:bookmarkStart w:id="348" w:name="_Toc5461"/>
      <w:bookmarkStart w:id="349" w:name="_Toc487650584"/>
      <w:bookmarkStart w:id="350" w:name="_Toc19053"/>
      <w:bookmarkStart w:id="351" w:name="_Toc31431"/>
      <w:bookmarkStart w:id="352" w:name="_Toc4632"/>
      <w:bookmarkStart w:id="353" w:name="_Toc7338"/>
      <w:r>
        <w:rPr>
          <w:rFonts w:hint="eastAsia"/>
          <w:highlight w:val="none"/>
        </w:rPr>
        <w:t>比选申请文件初审</w:t>
      </w:r>
      <w:bookmarkEnd w:id="344"/>
      <w:bookmarkEnd w:id="345"/>
      <w:bookmarkEnd w:id="346"/>
      <w:bookmarkEnd w:id="347"/>
      <w:bookmarkEnd w:id="348"/>
      <w:bookmarkEnd w:id="349"/>
      <w:bookmarkEnd w:id="350"/>
      <w:bookmarkEnd w:id="351"/>
      <w:bookmarkEnd w:id="352"/>
      <w:bookmarkEnd w:id="353"/>
    </w:p>
    <w:p w14:paraId="12E484B5">
      <w:pPr>
        <w:ind w:firstLine="480"/>
        <w:rPr>
          <w:highlight w:val="none"/>
        </w:rPr>
      </w:pPr>
      <w:r>
        <w:rPr>
          <w:rFonts w:hint="eastAsia"/>
          <w:highlight w:val="none"/>
        </w:rPr>
        <w:t>初审分为</w:t>
      </w:r>
      <w:r>
        <w:rPr>
          <w:rFonts w:hint="eastAsia" w:ascii="宋体" w:hAnsi="宋体"/>
          <w:highlight w:val="none"/>
        </w:rPr>
        <w:t>资格性评审</w:t>
      </w:r>
      <w:r>
        <w:rPr>
          <w:rFonts w:hint="eastAsia"/>
          <w:highlight w:val="none"/>
        </w:rPr>
        <w:t>和</w:t>
      </w:r>
      <w:r>
        <w:rPr>
          <w:rFonts w:hint="eastAsia" w:ascii="宋体" w:hAnsi="宋体"/>
          <w:highlight w:val="none"/>
        </w:rPr>
        <w:t>符合性</w:t>
      </w:r>
      <w:r>
        <w:rPr>
          <w:rFonts w:ascii="宋体" w:hAnsi="宋体"/>
          <w:highlight w:val="none"/>
        </w:rPr>
        <w:t>评审</w:t>
      </w:r>
      <w:r>
        <w:rPr>
          <w:rFonts w:hint="eastAsia"/>
          <w:highlight w:val="none"/>
        </w:rPr>
        <w:t>。</w:t>
      </w:r>
    </w:p>
    <w:p w14:paraId="62986046">
      <w:pPr>
        <w:ind w:firstLine="480"/>
        <w:rPr>
          <w:highlight w:val="none"/>
        </w:rPr>
      </w:pPr>
      <w:r>
        <w:rPr>
          <w:rFonts w:hint="eastAsia" w:hAnsi="宋体"/>
          <w:highlight w:val="none"/>
        </w:rPr>
        <w:t>3.1</w:t>
      </w:r>
      <w:r>
        <w:rPr>
          <w:rFonts w:hint="eastAsia"/>
          <w:highlight w:val="none"/>
        </w:rPr>
        <w:t>资格性评审。依据法律法规和比选文件的规定，对比选申请文件中的资格证明等进行审查，以确定比选申请比选申请单位是否具备比选申请资格。</w:t>
      </w:r>
    </w:p>
    <w:p w14:paraId="7CE601CC">
      <w:pPr>
        <w:pStyle w:val="42"/>
        <w:ind w:firstLine="480"/>
        <w:rPr>
          <w:rFonts w:ascii="Times New Roman" w:hAnsi="Times New Roman"/>
          <w:sz w:val="24"/>
          <w:highlight w:val="none"/>
        </w:rPr>
      </w:pPr>
      <w:r>
        <w:rPr>
          <w:rFonts w:hint="eastAsia" w:ascii="Times New Roman" w:hAnsi="Times New Roman"/>
          <w:sz w:val="24"/>
          <w:highlight w:val="none"/>
        </w:rPr>
        <w:t>（一）在中华人民共和国境内注册，具有经工商行政管理部门注册的服务机构或分支机构。</w:t>
      </w:r>
    </w:p>
    <w:p w14:paraId="1F78A7C8">
      <w:pPr>
        <w:pStyle w:val="42"/>
        <w:ind w:firstLine="480"/>
        <w:rPr>
          <w:rFonts w:ascii="Times New Roman" w:hAnsi="Times New Roman"/>
          <w:sz w:val="24"/>
          <w:highlight w:val="none"/>
        </w:rPr>
      </w:pPr>
      <w:r>
        <w:rPr>
          <w:rFonts w:hint="eastAsia" w:ascii="Times New Roman" w:hAnsi="Times New Roman"/>
          <w:sz w:val="24"/>
          <w:highlight w:val="none"/>
        </w:rPr>
        <w:t>（二）</w:t>
      </w:r>
      <w:r>
        <w:rPr>
          <w:rFonts w:hint="eastAsia" w:hAnsi="宋体" w:cs="宋体"/>
          <w:sz w:val="24"/>
          <w:szCs w:val="24"/>
          <w:highlight w:val="none"/>
        </w:rPr>
        <w:t>比选申请人具有合法有效的营业执照（或事业法人登记证）或其他组织（个体工商户）的营业执照或者民办非企业单位登记证书，比选申请人具有履行合同所必需的人员、设备和专业技术能力（企业资质、业绩、项目负责人需满足比选公告比选申请人资格要求）</w:t>
      </w:r>
      <w:r>
        <w:rPr>
          <w:rFonts w:hint="eastAsia" w:ascii="Times New Roman" w:hAnsi="Times New Roman"/>
          <w:sz w:val="24"/>
          <w:highlight w:val="none"/>
        </w:rPr>
        <w:t>。</w:t>
      </w:r>
    </w:p>
    <w:p w14:paraId="126CFC37">
      <w:pPr>
        <w:pStyle w:val="42"/>
        <w:ind w:firstLine="480"/>
        <w:rPr>
          <w:rFonts w:ascii="Times New Roman" w:hAnsi="Times New Roman"/>
          <w:sz w:val="24"/>
          <w:highlight w:val="none"/>
        </w:rPr>
      </w:pPr>
      <w:r>
        <w:rPr>
          <w:rFonts w:hint="eastAsia" w:ascii="Times New Roman" w:hAnsi="Times New Roman"/>
          <w:sz w:val="24"/>
          <w:highlight w:val="none"/>
        </w:rPr>
        <w:t>（三）</w:t>
      </w:r>
      <w:r>
        <w:rPr>
          <w:rFonts w:hint="eastAsia" w:eastAsiaTheme="minorEastAsia"/>
          <w:sz w:val="24"/>
          <w:szCs w:val="24"/>
          <w:highlight w:val="none"/>
          <w:lang w:val="zh-CN"/>
        </w:rPr>
        <w:t>本项目不接受联合体比选申请申请，严禁转包和分包</w:t>
      </w:r>
      <w:r>
        <w:rPr>
          <w:rFonts w:hint="eastAsia" w:hAnsi="宋体" w:cs="宋体"/>
          <w:sz w:val="24"/>
          <w:szCs w:val="24"/>
          <w:highlight w:val="none"/>
        </w:rPr>
        <w:t>。</w:t>
      </w:r>
    </w:p>
    <w:p w14:paraId="0E7EE58A">
      <w:pPr>
        <w:pStyle w:val="42"/>
        <w:ind w:firstLine="480"/>
        <w:rPr>
          <w:rFonts w:ascii="Times New Roman" w:hAnsi="Times New Roman"/>
          <w:sz w:val="24"/>
          <w:highlight w:val="none"/>
        </w:rPr>
      </w:pPr>
      <w:r>
        <w:rPr>
          <w:rFonts w:hint="eastAsia" w:ascii="Times New Roman" w:hAnsi="Times New Roman"/>
          <w:sz w:val="24"/>
          <w:highlight w:val="none"/>
        </w:rPr>
        <w:t>（四）提供依法缴纳税收和社会保障资金的良好记录（近三个月）。</w:t>
      </w:r>
    </w:p>
    <w:p w14:paraId="6FF9863A">
      <w:pPr>
        <w:pStyle w:val="42"/>
        <w:ind w:firstLine="480"/>
        <w:rPr>
          <w:rFonts w:ascii="Times New Roman" w:hAnsi="Times New Roman"/>
          <w:sz w:val="24"/>
          <w:highlight w:val="none"/>
        </w:rPr>
      </w:pPr>
      <w:r>
        <w:rPr>
          <w:rFonts w:hint="eastAsia" w:ascii="Times New Roman" w:hAnsi="Times New Roman"/>
          <w:sz w:val="24"/>
          <w:highlight w:val="none"/>
        </w:rPr>
        <w:t>（五）参加比选活动前三年内，在经营活动中没有重大违法记录。</w:t>
      </w:r>
    </w:p>
    <w:p w14:paraId="7B479231">
      <w:pPr>
        <w:pStyle w:val="42"/>
        <w:ind w:firstLine="480"/>
        <w:rPr>
          <w:rFonts w:ascii="Times New Roman" w:hAnsi="Times New Roman"/>
          <w:sz w:val="24"/>
          <w:highlight w:val="none"/>
        </w:rPr>
      </w:pPr>
      <w:r>
        <w:rPr>
          <w:rFonts w:hint="eastAsia" w:ascii="Times New Roman" w:hAnsi="Times New Roman"/>
          <w:sz w:val="24"/>
          <w:highlight w:val="none"/>
        </w:rPr>
        <w:t>（六）在“信用中国”网站中被列入失信执行人名单的比选申请人，其比选申请无效。</w:t>
      </w:r>
    </w:p>
    <w:p w14:paraId="668DD31F">
      <w:pPr>
        <w:pStyle w:val="42"/>
        <w:ind w:firstLine="480"/>
        <w:rPr>
          <w:rFonts w:ascii="Times New Roman" w:hAnsi="Times New Roman"/>
          <w:sz w:val="24"/>
          <w:highlight w:val="none"/>
        </w:rPr>
      </w:pPr>
      <w:r>
        <w:rPr>
          <w:rFonts w:hint="eastAsia" w:ascii="Times New Roman" w:hAnsi="Times New Roman"/>
          <w:sz w:val="24"/>
          <w:highlight w:val="none"/>
        </w:rPr>
        <w:t>（七）在国家企业信用信息公示系统中未被列入严重违法失信企业名单。</w:t>
      </w:r>
    </w:p>
    <w:p w14:paraId="19305CD4">
      <w:pPr>
        <w:ind w:firstLine="0" w:firstLineChars="0"/>
        <w:rPr>
          <w:highlight w:val="none"/>
        </w:rPr>
      </w:pPr>
      <w:r>
        <w:rPr>
          <w:rFonts w:hint="eastAsia"/>
          <w:szCs w:val="24"/>
          <w:highlight w:val="none"/>
        </w:rPr>
        <w:t>上述有一项认证不全的，按无效标处理。</w:t>
      </w:r>
    </w:p>
    <w:p w14:paraId="0E7A7E4B">
      <w:pPr>
        <w:ind w:firstLine="480"/>
        <w:rPr>
          <w:rFonts w:ascii="宋体" w:hAnsi="宋体"/>
          <w:highlight w:val="none"/>
        </w:rPr>
      </w:pPr>
      <w:r>
        <w:rPr>
          <w:rFonts w:ascii="宋体" w:hAnsi="宋体"/>
          <w:highlight w:val="none"/>
        </w:rPr>
        <w:t>本项目资格审查方式采用资格后审，资格后审的工作由</w:t>
      </w:r>
      <w:r>
        <w:rPr>
          <w:rFonts w:hint="eastAsia" w:ascii="宋体" w:hAnsi="宋体"/>
          <w:highlight w:val="none"/>
        </w:rPr>
        <w:t>评标委员</w:t>
      </w:r>
      <w:r>
        <w:rPr>
          <w:rFonts w:ascii="宋体" w:hAnsi="宋体"/>
          <w:highlight w:val="none"/>
        </w:rPr>
        <w:t>会承担。</w:t>
      </w:r>
      <w:r>
        <w:rPr>
          <w:rFonts w:hint="eastAsia" w:ascii="宋体" w:hAnsi="宋体"/>
          <w:highlight w:val="none"/>
        </w:rPr>
        <w:t>比选申请人</w:t>
      </w:r>
      <w:r>
        <w:rPr>
          <w:rFonts w:ascii="宋体" w:hAnsi="宋体"/>
          <w:highlight w:val="none"/>
        </w:rPr>
        <w:t>应符合资格后审要求，只有通过了资格后审合格的</w:t>
      </w:r>
      <w:r>
        <w:rPr>
          <w:rFonts w:hint="eastAsia" w:ascii="宋体" w:hAnsi="宋体"/>
          <w:highlight w:val="none"/>
        </w:rPr>
        <w:t>比选申请</w:t>
      </w:r>
      <w:r>
        <w:rPr>
          <w:rFonts w:ascii="宋体" w:hAnsi="宋体"/>
          <w:highlight w:val="none"/>
        </w:rPr>
        <w:t>文件方能进入下一阶段</w:t>
      </w:r>
      <w:r>
        <w:rPr>
          <w:rFonts w:hint="eastAsia" w:ascii="宋体" w:hAnsi="宋体"/>
          <w:highlight w:val="none"/>
        </w:rPr>
        <w:t>比选</w:t>
      </w:r>
      <w:r>
        <w:rPr>
          <w:rFonts w:ascii="宋体" w:hAnsi="宋体"/>
          <w:highlight w:val="none"/>
        </w:rPr>
        <w:t>。</w:t>
      </w:r>
    </w:p>
    <w:p w14:paraId="1D32A0E1">
      <w:pPr>
        <w:ind w:firstLine="480"/>
        <w:rPr>
          <w:highlight w:val="none"/>
        </w:rPr>
      </w:pPr>
      <w:r>
        <w:rPr>
          <w:rFonts w:hint="eastAsia"/>
          <w:highlight w:val="none"/>
        </w:rPr>
        <w:t>3.2</w:t>
      </w:r>
      <w:r>
        <w:rPr>
          <w:rFonts w:hint="eastAsia" w:ascii="宋体" w:hAnsi="宋体"/>
          <w:highlight w:val="none"/>
        </w:rPr>
        <w:t>符合性</w:t>
      </w:r>
      <w:r>
        <w:rPr>
          <w:rFonts w:ascii="宋体" w:hAnsi="宋体"/>
          <w:highlight w:val="none"/>
        </w:rPr>
        <w:t>评审</w:t>
      </w:r>
      <w:r>
        <w:rPr>
          <w:rFonts w:hint="eastAsia"/>
          <w:highlight w:val="none"/>
        </w:rPr>
        <w:t>。</w:t>
      </w:r>
    </w:p>
    <w:p w14:paraId="41B0E7A1">
      <w:pPr>
        <w:ind w:firstLine="480"/>
        <w:rPr>
          <w:highlight w:val="none"/>
        </w:rPr>
      </w:pPr>
      <w:r>
        <w:rPr>
          <w:rFonts w:hint="eastAsia"/>
          <w:highlight w:val="none"/>
        </w:rPr>
        <w:t>依据比选文件的规定，从比选申请文件的有效性、完整性和对比选文件的响应程度进行审查，以确定是否对比选文件的实质性要求做出响应。</w:t>
      </w:r>
    </w:p>
    <w:p w14:paraId="7DF2D35C">
      <w:pPr>
        <w:ind w:firstLine="480"/>
        <w:rPr>
          <w:highlight w:val="none"/>
        </w:rPr>
      </w:pPr>
      <w:r>
        <w:rPr>
          <w:rFonts w:hint="eastAsia"/>
          <w:highlight w:val="none"/>
        </w:rPr>
        <w:t>（一）比选申请文件按照比选文件要求装订、密封、标记。</w:t>
      </w:r>
    </w:p>
    <w:p w14:paraId="7B87C23C">
      <w:pPr>
        <w:ind w:firstLine="480"/>
        <w:rPr>
          <w:highlight w:val="none"/>
        </w:rPr>
      </w:pPr>
      <w:r>
        <w:rPr>
          <w:rFonts w:hint="eastAsia"/>
          <w:highlight w:val="none"/>
        </w:rPr>
        <w:t>（二）比选申请文件按比选文件规定签字、加盖印章。由委托代理人签字的，同时提供有效授权委托书原件。</w:t>
      </w:r>
    </w:p>
    <w:p w14:paraId="46ED9DC1">
      <w:pPr>
        <w:ind w:firstLine="480"/>
        <w:rPr>
          <w:highlight w:val="none"/>
        </w:rPr>
      </w:pPr>
      <w:r>
        <w:rPr>
          <w:rFonts w:hint="eastAsia"/>
          <w:highlight w:val="none"/>
        </w:rPr>
        <w:t>（三）比选申请文件关键性内容字迹清晰可辨。</w:t>
      </w:r>
    </w:p>
    <w:p w14:paraId="7101C1C5">
      <w:pPr>
        <w:ind w:firstLine="480"/>
        <w:rPr>
          <w:highlight w:val="none"/>
        </w:rPr>
      </w:pPr>
      <w:r>
        <w:rPr>
          <w:rFonts w:hint="eastAsia"/>
          <w:highlight w:val="none"/>
        </w:rPr>
        <w:t>（四）按比选文件要求缴纳比选申请保证金，并提交了比选申请承诺函。</w:t>
      </w:r>
    </w:p>
    <w:p w14:paraId="4621062B">
      <w:pPr>
        <w:ind w:firstLine="480"/>
        <w:rPr>
          <w:highlight w:val="none"/>
        </w:rPr>
      </w:pPr>
      <w:r>
        <w:rPr>
          <w:rFonts w:hint="eastAsia"/>
          <w:highlight w:val="none"/>
        </w:rPr>
        <w:t>（五）比选申请报价未超出比选限价。</w:t>
      </w:r>
    </w:p>
    <w:p w14:paraId="39B7741A">
      <w:pPr>
        <w:ind w:firstLine="480"/>
        <w:rPr>
          <w:highlight w:val="none"/>
        </w:rPr>
      </w:pPr>
      <w:r>
        <w:rPr>
          <w:rFonts w:hint="eastAsia"/>
          <w:highlight w:val="none"/>
        </w:rPr>
        <w:t>（六）比选申请文件中不存在比选人不能接受或与比选文件中关键要求相抵触的条件。</w:t>
      </w:r>
    </w:p>
    <w:p w14:paraId="3927CD6F">
      <w:pPr>
        <w:ind w:firstLine="480"/>
        <w:rPr>
          <w:highlight w:val="none"/>
        </w:rPr>
      </w:pPr>
      <w:r>
        <w:rPr>
          <w:rFonts w:hint="eastAsia"/>
          <w:highlight w:val="none"/>
        </w:rPr>
        <w:t>（七）比选申请文件中项目方案等满足本比选文件要求。</w:t>
      </w:r>
    </w:p>
    <w:p w14:paraId="7EF24603">
      <w:pPr>
        <w:ind w:firstLine="480"/>
        <w:rPr>
          <w:rFonts w:ascii="宋体" w:hAnsi="宋体"/>
          <w:highlight w:val="none"/>
        </w:rPr>
      </w:pPr>
      <w:r>
        <w:rPr>
          <w:rFonts w:ascii="宋体" w:hAnsi="宋体"/>
          <w:highlight w:val="none"/>
        </w:rPr>
        <w:t>资格后审和</w:t>
      </w:r>
      <w:r>
        <w:rPr>
          <w:rFonts w:hint="eastAsia" w:ascii="宋体" w:hAnsi="宋体"/>
          <w:highlight w:val="none"/>
        </w:rPr>
        <w:t>符合性评审</w:t>
      </w:r>
      <w:r>
        <w:rPr>
          <w:rFonts w:ascii="宋体" w:hAnsi="宋体"/>
          <w:highlight w:val="none"/>
        </w:rPr>
        <w:t>同时进行。资格性及</w:t>
      </w:r>
      <w:r>
        <w:rPr>
          <w:rFonts w:hint="eastAsia" w:ascii="宋体" w:hAnsi="宋体"/>
          <w:highlight w:val="none"/>
        </w:rPr>
        <w:t>符合性评审</w:t>
      </w:r>
      <w:r>
        <w:rPr>
          <w:rFonts w:ascii="宋体" w:hAnsi="宋体"/>
          <w:highlight w:val="none"/>
        </w:rPr>
        <w:t>中有一项不合格，资格性及</w:t>
      </w:r>
      <w:r>
        <w:rPr>
          <w:rFonts w:hint="eastAsia" w:ascii="宋体" w:hAnsi="宋体"/>
          <w:highlight w:val="none"/>
        </w:rPr>
        <w:t>符合性评审</w:t>
      </w:r>
      <w:r>
        <w:rPr>
          <w:rFonts w:ascii="宋体" w:hAnsi="宋体"/>
          <w:highlight w:val="none"/>
        </w:rPr>
        <w:t>为不合格。不进入详细评审阶段。</w:t>
      </w:r>
    </w:p>
    <w:p w14:paraId="40AD8BE7">
      <w:pPr>
        <w:pStyle w:val="52"/>
        <w:ind w:firstLine="480"/>
        <w:rPr>
          <w:rFonts w:ascii="宋体" w:hAnsi="宋体"/>
          <w:highlight w:val="none"/>
        </w:rPr>
      </w:pPr>
    </w:p>
    <w:p w14:paraId="7B2EFE8C">
      <w:pPr>
        <w:pStyle w:val="52"/>
        <w:ind w:firstLine="480"/>
        <w:rPr>
          <w:rFonts w:ascii="宋体" w:hAnsi="宋体"/>
          <w:highlight w:val="none"/>
        </w:rPr>
      </w:pPr>
    </w:p>
    <w:p w14:paraId="0062075E">
      <w:pPr>
        <w:pStyle w:val="52"/>
        <w:ind w:firstLine="480"/>
        <w:rPr>
          <w:rFonts w:ascii="宋体" w:hAnsi="宋体"/>
          <w:highlight w:val="none"/>
        </w:rPr>
      </w:pPr>
    </w:p>
    <w:p w14:paraId="46669254">
      <w:pPr>
        <w:pStyle w:val="52"/>
        <w:ind w:firstLine="480"/>
        <w:rPr>
          <w:rFonts w:ascii="宋体" w:hAnsi="宋体"/>
          <w:highlight w:val="none"/>
        </w:rPr>
      </w:pPr>
    </w:p>
    <w:p w14:paraId="0E77C982">
      <w:pPr>
        <w:pStyle w:val="52"/>
        <w:ind w:firstLine="480"/>
        <w:rPr>
          <w:rFonts w:ascii="宋体" w:hAnsi="宋体"/>
          <w:highlight w:val="none"/>
        </w:rPr>
      </w:pPr>
    </w:p>
    <w:p w14:paraId="7EC12144">
      <w:pPr>
        <w:pStyle w:val="3"/>
        <w:numPr>
          <w:ilvl w:val="0"/>
          <w:numId w:val="9"/>
        </w:numPr>
        <w:rPr>
          <w:highlight w:val="none"/>
        </w:rPr>
      </w:pPr>
      <w:bookmarkStart w:id="354" w:name="_Toc18823"/>
      <w:bookmarkStart w:id="355" w:name="_Toc4469"/>
      <w:bookmarkStart w:id="356" w:name="_Toc14574"/>
      <w:bookmarkStart w:id="357" w:name="_Toc13361"/>
      <w:bookmarkStart w:id="358" w:name="_Toc23214"/>
      <w:bookmarkStart w:id="359" w:name="_Toc487650585"/>
      <w:bookmarkStart w:id="360" w:name="_Toc32467"/>
      <w:bookmarkStart w:id="361" w:name="_Toc32606"/>
      <w:bookmarkStart w:id="362" w:name="_Toc17132"/>
      <w:bookmarkStart w:id="363" w:name="_Toc18115"/>
      <w:r>
        <w:rPr>
          <w:rFonts w:hint="eastAsia"/>
          <w:highlight w:val="none"/>
        </w:rPr>
        <w:t>详细评审</w:t>
      </w:r>
      <w:bookmarkEnd w:id="354"/>
      <w:bookmarkEnd w:id="355"/>
      <w:bookmarkEnd w:id="356"/>
      <w:bookmarkEnd w:id="357"/>
      <w:bookmarkEnd w:id="358"/>
      <w:bookmarkEnd w:id="359"/>
      <w:bookmarkEnd w:id="360"/>
      <w:bookmarkEnd w:id="361"/>
      <w:bookmarkEnd w:id="362"/>
      <w:bookmarkEnd w:id="363"/>
    </w:p>
    <w:p w14:paraId="5832AD32">
      <w:pPr>
        <w:ind w:firstLine="480"/>
        <w:rPr>
          <w:rFonts w:ascii="宋体" w:hAnsi="宋体"/>
          <w:highlight w:val="none"/>
        </w:rPr>
      </w:pPr>
      <w:r>
        <w:rPr>
          <w:rFonts w:hint="eastAsia" w:ascii="宋体" w:hAnsi="宋体"/>
          <w:highlight w:val="none"/>
        </w:rPr>
        <w:t>4.1</w:t>
      </w:r>
      <w:r>
        <w:rPr>
          <w:rFonts w:ascii="宋体" w:hAnsi="宋体"/>
          <w:highlight w:val="none"/>
        </w:rPr>
        <w:t>通过资格性及</w:t>
      </w:r>
      <w:r>
        <w:rPr>
          <w:rFonts w:hint="eastAsia" w:ascii="宋体" w:hAnsi="宋体"/>
          <w:highlight w:val="none"/>
        </w:rPr>
        <w:t>符合性评审</w:t>
      </w:r>
      <w:r>
        <w:rPr>
          <w:rFonts w:ascii="宋体" w:hAnsi="宋体"/>
          <w:highlight w:val="none"/>
        </w:rPr>
        <w:t>的</w:t>
      </w:r>
      <w:r>
        <w:rPr>
          <w:rFonts w:hint="eastAsia" w:ascii="宋体" w:hAnsi="宋体"/>
          <w:highlight w:val="none"/>
        </w:rPr>
        <w:t>比选申请人</w:t>
      </w:r>
      <w:r>
        <w:rPr>
          <w:rFonts w:ascii="宋体" w:hAnsi="宋体"/>
          <w:highlight w:val="none"/>
        </w:rPr>
        <w:t>，方能进入详细评审程序。</w:t>
      </w:r>
    </w:p>
    <w:p w14:paraId="40B0F2B3">
      <w:pPr>
        <w:ind w:firstLine="480"/>
        <w:rPr>
          <w:rFonts w:ascii="宋体" w:hAnsi="宋体"/>
          <w:highlight w:val="none"/>
        </w:rPr>
      </w:pPr>
      <w:bookmarkStart w:id="364" w:name="_Toc363145520"/>
      <w:r>
        <w:rPr>
          <w:rFonts w:hint="eastAsia" w:ascii="宋体" w:hAnsi="宋体"/>
          <w:highlight w:val="none"/>
        </w:rPr>
        <w:t>4.2详细评审</w:t>
      </w:r>
      <w:r>
        <w:rPr>
          <w:rFonts w:ascii="宋体" w:hAnsi="宋体"/>
          <w:highlight w:val="none"/>
        </w:rPr>
        <w:t>评分标准</w:t>
      </w:r>
      <w:bookmarkEnd w:id="364"/>
    </w:p>
    <w:p w14:paraId="11D59D7F">
      <w:pPr>
        <w:pStyle w:val="42"/>
        <w:ind w:firstLine="480"/>
        <w:rPr>
          <w:rFonts w:ascii="宋体" w:hAnsi="宋体"/>
          <w:sz w:val="24"/>
          <w:highlight w:val="none"/>
        </w:rPr>
      </w:pPr>
      <w:r>
        <w:rPr>
          <w:rFonts w:hint="eastAsia" w:ascii="宋体" w:hAnsi="宋体"/>
          <w:sz w:val="24"/>
          <w:highlight w:val="none"/>
        </w:rPr>
        <w:t>①本次比选申请采用资格后审。评审方法采用综合评分法，其中技术商务部分70分，报价部分30分。</w:t>
      </w:r>
    </w:p>
    <w:p w14:paraId="0F9BE500">
      <w:pPr>
        <w:pStyle w:val="42"/>
        <w:ind w:firstLine="480"/>
        <w:rPr>
          <w:rFonts w:ascii="宋体" w:hAnsi="宋体"/>
          <w:sz w:val="24"/>
          <w:highlight w:val="none"/>
        </w:rPr>
      </w:pPr>
      <w:r>
        <w:rPr>
          <w:rFonts w:hint="eastAsia" w:ascii="宋体" w:hAnsi="宋体"/>
          <w:sz w:val="24"/>
          <w:highlight w:val="none"/>
        </w:rPr>
        <w:t>②详细评审标准—技术商务部分（满分70分）</w:t>
      </w:r>
    </w:p>
    <w:tbl>
      <w:tblPr>
        <w:tblStyle w:val="43"/>
        <w:tblW w:w="87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247"/>
        <w:gridCol w:w="749"/>
      </w:tblGrid>
      <w:tr w14:paraId="1429C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blHeader/>
          <w:jc w:val="center"/>
        </w:trPr>
        <w:tc>
          <w:tcPr>
            <w:tcW w:w="762" w:type="dxa"/>
            <w:vAlign w:val="center"/>
          </w:tcPr>
          <w:p w14:paraId="23D07560">
            <w:pPr>
              <w:ind w:firstLine="0" w:firstLineChars="0"/>
              <w:rPr>
                <w:rFonts w:hAnsi="宋体" w:cs="宋体"/>
                <w:b/>
                <w:bCs/>
                <w:snapToGrid w:val="0"/>
                <w:szCs w:val="24"/>
                <w:highlight w:val="none"/>
              </w:rPr>
            </w:pPr>
            <w:r>
              <w:rPr>
                <w:rFonts w:hint="eastAsia" w:hAnsi="宋体" w:cs="宋体"/>
                <w:b/>
                <w:bCs/>
                <w:snapToGrid w:val="0"/>
                <w:szCs w:val="24"/>
                <w:highlight w:val="none"/>
              </w:rPr>
              <w:t>类别</w:t>
            </w:r>
          </w:p>
        </w:tc>
        <w:tc>
          <w:tcPr>
            <w:tcW w:w="7247" w:type="dxa"/>
            <w:vAlign w:val="center"/>
          </w:tcPr>
          <w:p w14:paraId="562BF118">
            <w:pPr>
              <w:ind w:firstLine="482"/>
              <w:jc w:val="center"/>
              <w:rPr>
                <w:rFonts w:hAnsi="宋体" w:cs="宋体"/>
                <w:b/>
                <w:bCs/>
                <w:snapToGrid w:val="0"/>
                <w:szCs w:val="24"/>
                <w:highlight w:val="none"/>
              </w:rPr>
            </w:pPr>
            <w:r>
              <w:rPr>
                <w:rFonts w:hint="eastAsia" w:hAnsi="宋体" w:cs="宋体"/>
                <w:b/>
                <w:bCs/>
                <w:szCs w:val="24"/>
                <w:highlight w:val="none"/>
              </w:rPr>
              <w:t>评审内容</w:t>
            </w:r>
          </w:p>
        </w:tc>
        <w:tc>
          <w:tcPr>
            <w:tcW w:w="749" w:type="dxa"/>
            <w:vAlign w:val="center"/>
          </w:tcPr>
          <w:p w14:paraId="38DB4702">
            <w:pPr>
              <w:ind w:firstLine="0" w:firstLineChars="0"/>
              <w:rPr>
                <w:rFonts w:hAnsi="宋体" w:cs="宋体"/>
                <w:b/>
                <w:bCs/>
                <w:snapToGrid w:val="0"/>
                <w:szCs w:val="24"/>
                <w:highlight w:val="none"/>
              </w:rPr>
            </w:pPr>
            <w:r>
              <w:rPr>
                <w:rFonts w:hint="eastAsia" w:hAnsi="宋体" w:cs="宋体"/>
                <w:b/>
                <w:bCs/>
                <w:snapToGrid w:val="0"/>
                <w:szCs w:val="24"/>
                <w:highlight w:val="none"/>
              </w:rPr>
              <w:t>分值</w:t>
            </w:r>
          </w:p>
        </w:tc>
      </w:tr>
      <w:tr w14:paraId="73BC1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0" w:hRule="atLeast"/>
          <w:jc w:val="center"/>
        </w:trPr>
        <w:tc>
          <w:tcPr>
            <w:tcW w:w="762" w:type="dxa"/>
            <w:vMerge w:val="restart"/>
            <w:vAlign w:val="center"/>
          </w:tcPr>
          <w:p w14:paraId="0202B3E6">
            <w:pPr>
              <w:snapToGrid w:val="0"/>
              <w:ind w:firstLine="482"/>
              <w:jc w:val="center"/>
              <w:rPr>
                <w:rFonts w:hAnsi="宋体" w:cs="宋体"/>
                <w:b/>
                <w:bCs/>
                <w:snapToGrid w:val="0"/>
                <w:szCs w:val="24"/>
                <w:highlight w:val="none"/>
              </w:rPr>
            </w:pPr>
          </w:p>
          <w:p w14:paraId="30F52B33">
            <w:pPr>
              <w:ind w:firstLine="0" w:firstLineChars="0"/>
              <w:textAlignment w:val="center"/>
              <w:rPr>
                <w:rFonts w:hAnsi="宋体" w:cs="宋体"/>
                <w:b/>
                <w:bCs/>
                <w:snapToGrid w:val="0"/>
                <w:szCs w:val="24"/>
                <w:highlight w:val="none"/>
              </w:rPr>
            </w:pPr>
            <w:r>
              <w:rPr>
                <w:rFonts w:hint="eastAsia" w:hAnsi="宋体" w:cs="宋体"/>
                <w:b/>
                <w:bCs/>
                <w:snapToGrid w:val="0"/>
                <w:szCs w:val="24"/>
                <w:highlight w:val="none"/>
              </w:rPr>
              <w:t>技术商务部分70分</w:t>
            </w:r>
          </w:p>
        </w:tc>
        <w:tc>
          <w:tcPr>
            <w:tcW w:w="7247" w:type="dxa"/>
            <w:vAlign w:val="center"/>
          </w:tcPr>
          <w:p w14:paraId="5CD72BF8">
            <w:pPr>
              <w:ind w:firstLine="0" w:firstLineChars="0"/>
              <w:textAlignment w:val="center"/>
              <w:rPr>
                <w:rFonts w:ascii="宋体" w:hAnsi="宋体" w:cs="宋体"/>
                <w:szCs w:val="24"/>
                <w:highlight w:val="none"/>
              </w:rPr>
            </w:pPr>
            <w:r>
              <w:rPr>
                <w:rFonts w:hint="eastAsia" w:ascii="宋体" w:hAnsi="宋体" w:cs="宋体"/>
                <w:szCs w:val="24"/>
                <w:highlight w:val="none"/>
              </w:rPr>
              <w:t>资质要求：</w:t>
            </w:r>
          </w:p>
          <w:p w14:paraId="760540D3">
            <w:pPr>
              <w:ind w:firstLine="0" w:firstLineChars="0"/>
              <w:textAlignment w:val="center"/>
              <w:rPr>
                <w:rFonts w:ascii="宋体" w:hAnsi="宋体" w:cs="宋体"/>
                <w:szCs w:val="24"/>
                <w:highlight w:val="none"/>
              </w:rPr>
            </w:pPr>
            <w:r>
              <w:rPr>
                <w:rFonts w:hint="eastAsia" w:ascii="宋体" w:hAnsi="宋体" w:cs="宋体"/>
                <w:szCs w:val="24"/>
                <w:highlight w:val="none"/>
              </w:rPr>
              <w:t>满足资格条件资质最低要求得5分；除满足资格条件的资质证书外，比选申请人持有中国网络安全审查技术与认证中心（CCRC，原中国信息安全认证中心）颁发的《信息安全服务资质认证证书（信息系统安全运维三级服务资质）》及以上证书或中国网络安全审查技术与认证中心（CCRC，原中国信息安全认证中心）颁发的《信息安全服务资质认证证书（信息系统安全集成三级服务资质）》及以上证书任一证书加5分，本项最高得15分。</w:t>
            </w:r>
          </w:p>
          <w:p w14:paraId="5687D199">
            <w:pPr>
              <w:ind w:firstLine="0" w:firstLineChars="0"/>
              <w:textAlignment w:val="center"/>
              <w:rPr>
                <w:rFonts w:ascii="宋体" w:hAnsi="宋体" w:cs="宋体"/>
                <w:szCs w:val="24"/>
                <w:highlight w:val="none"/>
              </w:rPr>
            </w:pPr>
            <w:r>
              <w:rPr>
                <w:rFonts w:hint="eastAsia" w:ascii="宋体" w:hAnsi="宋体" w:cs="宋体"/>
                <w:szCs w:val="24"/>
                <w:highlight w:val="none"/>
              </w:rPr>
              <w:t>比选申请人持有中国电子工业标准化技术协会信息技术服务分会颁发的《信息技术服务标准符合性证书》（业务领域须包含“运行维护”）三级及以上证书的得3分，本项最高得3分。</w:t>
            </w:r>
          </w:p>
        </w:tc>
        <w:tc>
          <w:tcPr>
            <w:tcW w:w="749" w:type="dxa"/>
            <w:vAlign w:val="center"/>
          </w:tcPr>
          <w:p w14:paraId="6980408D">
            <w:pPr>
              <w:snapToGrid w:val="0"/>
              <w:ind w:firstLine="0" w:firstLineChars="0"/>
              <w:jc w:val="center"/>
              <w:rPr>
                <w:rFonts w:hAnsi="宋体" w:cs="宋体"/>
                <w:szCs w:val="24"/>
                <w:highlight w:val="none"/>
                <w:lang w:bidi="ar"/>
              </w:rPr>
            </w:pPr>
            <w:r>
              <w:rPr>
                <w:rFonts w:hint="eastAsia" w:hAnsi="宋体" w:cs="宋体"/>
                <w:szCs w:val="24"/>
                <w:highlight w:val="none"/>
                <w:lang w:bidi="ar"/>
              </w:rPr>
              <w:t>18</w:t>
            </w:r>
          </w:p>
        </w:tc>
      </w:tr>
      <w:tr w14:paraId="7CA23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3" w:hRule="atLeast"/>
          <w:jc w:val="center"/>
        </w:trPr>
        <w:tc>
          <w:tcPr>
            <w:tcW w:w="762" w:type="dxa"/>
            <w:vMerge w:val="continue"/>
            <w:vAlign w:val="center"/>
          </w:tcPr>
          <w:p w14:paraId="38AE34DC">
            <w:pPr>
              <w:ind w:firstLine="482"/>
              <w:jc w:val="center"/>
              <w:textAlignment w:val="center"/>
              <w:rPr>
                <w:rFonts w:hAnsi="宋体" w:cs="宋体"/>
                <w:b/>
                <w:bCs/>
                <w:szCs w:val="24"/>
                <w:highlight w:val="none"/>
                <w:lang w:bidi="ar"/>
              </w:rPr>
            </w:pPr>
          </w:p>
        </w:tc>
        <w:tc>
          <w:tcPr>
            <w:tcW w:w="7247" w:type="dxa"/>
            <w:vAlign w:val="center"/>
          </w:tcPr>
          <w:p w14:paraId="09E43F1C">
            <w:pPr>
              <w:numPr>
                <w:ilvl w:val="255"/>
                <w:numId w:val="0"/>
              </w:numPr>
              <w:textAlignment w:val="center"/>
              <w:rPr>
                <w:rFonts w:ascii="宋体" w:hAnsi="宋体" w:cs="宋体"/>
                <w:szCs w:val="24"/>
                <w:highlight w:val="none"/>
              </w:rPr>
            </w:pPr>
            <w:r>
              <w:rPr>
                <w:rFonts w:hint="eastAsia" w:ascii="宋体" w:hAnsi="宋体" w:cs="宋体"/>
                <w:szCs w:val="24"/>
                <w:highlight w:val="none"/>
              </w:rPr>
              <w:t>业绩要求：</w:t>
            </w:r>
          </w:p>
          <w:p w14:paraId="506D1431">
            <w:pPr>
              <w:pStyle w:val="42"/>
              <w:ind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1、自 2021年 1月 1日起至今（以合同签订时间为准）至少独立承担过 1个网络安全服务工作（工作内容包含网络安全风险评估）。</w:t>
            </w:r>
          </w:p>
          <w:p w14:paraId="5E496E66">
            <w:pPr>
              <w:ind w:firstLine="0" w:firstLineChars="0"/>
              <w:jc w:val="left"/>
              <w:textAlignment w:val="center"/>
              <w:rPr>
                <w:rFonts w:ascii="宋体" w:hAnsi="宋体" w:cs="宋体"/>
                <w:szCs w:val="24"/>
                <w:highlight w:val="none"/>
              </w:rPr>
            </w:pPr>
            <w:r>
              <w:rPr>
                <w:rFonts w:hint="eastAsia" w:ascii="宋体" w:hAnsi="宋体" w:cs="宋体"/>
                <w:szCs w:val="24"/>
                <w:highlight w:val="none"/>
              </w:rPr>
              <w:t>2、满足资格条件业绩最低要求得5分；扣除满足资格条件最低要求的项目个数后，自2021年1月1日起至比选截止日每增加一个交通行业网络安全服务业绩加2分，本项最高得15分。</w:t>
            </w:r>
          </w:p>
        </w:tc>
        <w:tc>
          <w:tcPr>
            <w:tcW w:w="749" w:type="dxa"/>
            <w:vAlign w:val="center"/>
          </w:tcPr>
          <w:p w14:paraId="1C05FBF0">
            <w:pPr>
              <w:ind w:firstLine="0" w:firstLineChars="0"/>
              <w:jc w:val="center"/>
              <w:textAlignment w:val="center"/>
              <w:rPr>
                <w:rFonts w:hAnsi="宋体" w:cs="宋体"/>
                <w:snapToGrid w:val="0"/>
                <w:szCs w:val="24"/>
                <w:highlight w:val="none"/>
              </w:rPr>
            </w:pPr>
            <w:r>
              <w:rPr>
                <w:rFonts w:hint="eastAsia" w:hAnsi="宋体" w:cs="宋体"/>
                <w:snapToGrid w:val="0"/>
                <w:szCs w:val="24"/>
                <w:highlight w:val="none"/>
              </w:rPr>
              <w:t>15</w:t>
            </w:r>
          </w:p>
        </w:tc>
      </w:tr>
      <w:tr w14:paraId="7E706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atLeast"/>
          <w:jc w:val="center"/>
        </w:trPr>
        <w:tc>
          <w:tcPr>
            <w:tcW w:w="762" w:type="dxa"/>
            <w:vMerge w:val="continue"/>
            <w:vAlign w:val="center"/>
          </w:tcPr>
          <w:p w14:paraId="7851DBED">
            <w:pPr>
              <w:ind w:firstLine="482"/>
              <w:jc w:val="center"/>
              <w:textAlignment w:val="center"/>
              <w:rPr>
                <w:rFonts w:hAnsi="宋体" w:cs="宋体"/>
                <w:b/>
                <w:bCs/>
                <w:szCs w:val="24"/>
                <w:highlight w:val="none"/>
                <w:lang w:bidi="ar"/>
              </w:rPr>
            </w:pPr>
          </w:p>
        </w:tc>
        <w:tc>
          <w:tcPr>
            <w:tcW w:w="7247" w:type="dxa"/>
            <w:vAlign w:val="center"/>
          </w:tcPr>
          <w:p w14:paraId="62A27B6F">
            <w:pPr>
              <w:widowControl/>
              <w:autoSpaceDE w:val="0"/>
              <w:autoSpaceDN w:val="0"/>
              <w:ind w:firstLine="0" w:firstLineChars="0"/>
              <w:jc w:val="left"/>
              <w:textAlignment w:val="center"/>
              <w:rPr>
                <w:rFonts w:ascii="宋体" w:hAnsi="宋体" w:cs="宋体"/>
                <w:szCs w:val="24"/>
                <w:highlight w:val="none"/>
              </w:rPr>
            </w:pPr>
            <w:r>
              <w:rPr>
                <w:rFonts w:hint="eastAsia" w:ascii="宋体" w:hAnsi="宋体" w:cs="宋体"/>
                <w:szCs w:val="24"/>
                <w:highlight w:val="none"/>
              </w:rPr>
              <w:t>人员及机构要求：</w:t>
            </w:r>
          </w:p>
          <w:p w14:paraId="5763BA41">
            <w:pPr>
              <w:widowControl/>
              <w:autoSpaceDE w:val="0"/>
              <w:autoSpaceDN w:val="0"/>
              <w:ind w:firstLine="0" w:firstLineChars="0"/>
              <w:jc w:val="left"/>
              <w:textAlignment w:val="center"/>
              <w:rPr>
                <w:rFonts w:ascii="宋体" w:hAnsi="宋体" w:cs="宋体"/>
                <w:szCs w:val="24"/>
                <w:highlight w:val="none"/>
              </w:rPr>
            </w:pPr>
            <w:r>
              <w:rPr>
                <w:rFonts w:hint="eastAsia" w:ascii="宋体" w:hAnsi="宋体" w:cs="宋体"/>
                <w:szCs w:val="24"/>
                <w:highlight w:val="none"/>
              </w:rPr>
              <w:t>1、项目负责人</w:t>
            </w:r>
          </w:p>
          <w:p w14:paraId="2856B183">
            <w:pPr>
              <w:widowControl/>
              <w:autoSpaceDE w:val="0"/>
              <w:autoSpaceDN w:val="0"/>
              <w:ind w:firstLine="0" w:firstLineChars="0"/>
              <w:jc w:val="left"/>
              <w:textAlignment w:val="center"/>
              <w:rPr>
                <w:rFonts w:ascii="宋体" w:hAnsi="宋体" w:cs="宋体"/>
                <w:szCs w:val="24"/>
                <w:highlight w:val="none"/>
              </w:rPr>
            </w:pPr>
            <w:r>
              <w:rPr>
                <w:rFonts w:hint="eastAsia" w:ascii="宋体" w:hAnsi="宋体" w:cs="宋体"/>
                <w:szCs w:val="24"/>
                <w:highlight w:val="none"/>
              </w:rPr>
              <w:t>满足资格条件项目负责人最低要求得3分；项目负责人</w:t>
            </w:r>
            <w:bookmarkStart w:id="365" w:name="OLE_LINK1"/>
            <w:r>
              <w:rPr>
                <w:rFonts w:hint="eastAsia" w:ascii="宋体" w:hAnsi="宋体" w:cs="宋体"/>
                <w:szCs w:val="24"/>
                <w:highlight w:val="none"/>
              </w:rPr>
              <w:t>具有计算机技术与软件技术资格（信息系统项目管理师）</w:t>
            </w:r>
            <w:bookmarkEnd w:id="365"/>
            <w:r>
              <w:rPr>
                <w:rFonts w:hint="eastAsia" w:ascii="宋体" w:hAnsi="宋体" w:cs="宋体"/>
                <w:szCs w:val="24"/>
                <w:highlight w:val="none"/>
              </w:rPr>
              <w:t>或PMP（项目管理专业人员资格认证）认证或信息安全保障人员（CISAW）认证，每一个得2分，最多得9分；</w:t>
            </w:r>
          </w:p>
          <w:p w14:paraId="5555E9EC">
            <w:pPr>
              <w:widowControl/>
              <w:autoSpaceDE w:val="0"/>
              <w:autoSpaceDN w:val="0"/>
              <w:ind w:firstLine="0" w:firstLineChars="0"/>
              <w:jc w:val="left"/>
              <w:textAlignment w:val="center"/>
              <w:rPr>
                <w:rFonts w:ascii="宋体" w:hAnsi="宋体" w:cs="宋体"/>
                <w:szCs w:val="24"/>
                <w:highlight w:val="none"/>
              </w:rPr>
            </w:pPr>
            <w:r>
              <w:rPr>
                <w:rFonts w:hint="eastAsia" w:ascii="宋体" w:hAnsi="宋体" w:cs="宋体"/>
                <w:szCs w:val="24"/>
                <w:highlight w:val="none"/>
              </w:rPr>
              <w:t>2、项目负责人能够提供国家信息安全漏洞共享平台（CNVD）原创漏洞证明的，每提供一份得1分，最多得1分。</w:t>
            </w:r>
          </w:p>
          <w:p w14:paraId="7499F8FA">
            <w:pPr>
              <w:widowControl/>
              <w:autoSpaceDE w:val="0"/>
              <w:autoSpaceDN w:val="0"/>
              <w:ind w:firstLine="0" w:firstLineChars="0"/>
              <w:jc w:val="left"/>
              <w:textAlignment w:val="center"/>
              <w:rPr>
                <w:rFonts w:ascii="宋体" w:hAnsi="宋体" w:cs="宋体"/>
                <w:szCs w:val="24"/>
                <w:highlight w:val="none"/>
              </w:rPr>
            </w:pPr>
            <w:r>
              <w:rPr>
                <w:rFonts w:hint="eastAsia" w:ascii="宋体" w:hAnsi="宋体" w:cs="宋体"/>
                <w:szCs w:val="24"/>
                <w:highlight w:val="none"/>
              </w:rPr>
              <w:t>3、项目团队中除项目负责人以外其他成员通过注册信息安全专业人员（CISP）或信息安全保障人员（CISAW）认证，每通过一人得1分。最多得5分；</w:t>
            </w:r>
          </w:p>
          <w:p w14:paraId="34CA1E80">
            <w:pPr>
              <w:widowControl/>
              <w:autoSpaceDE w:val="0"/>
              <w:autoSpaceDN w:val="0"/>
              <w:ind w:firstLine="0" w:firstLineChars="0"/>
              <w:jc w:val="left"/>
              <w:textAlignment w:val="center"/>
              <w:rPr>
                <w:rFonts w:ascii="宋体" w:hAnsi="宋体" w:cs="宋体"/>
                <w:szCs w:val="24"/>
                <w:highlight w:val="none"/>
              </w:rPr>
            </w:pPr>
            <w:r>
              <w:rPr>
                <w:rFonts w:hint="eastAsia" w:ascii="宋体" w:hAnsi="宋体" w:cs="宋体"/>
                <w:szCs w:val="24"/>
                <w:highlight w:val="none"/>
              </w:rPr>
              <w:t>4、项目团队中除项目负责人以外其他成员具有通信专业技术人员资格中级及以上认证或工业和信息化部电子通信行业职业技能鉴定指导中心颁发的信息通信网络维护人员证书的，每一个加1分，最多得2分；</w:t>
            </w:r>
          </w:p>
          <w:p w14:paraId="182428FC">
            <w:pPr>
              <w:widowControl/>
              <w:autoSpaceDE w:val="0"/>
              <w:autoSpaceDN w:val="0"/>
              <w:ind w:firstLine="0" w:firstLineChars="0"/>
              <w:jc w:val="left"/>
              <w:textAlignment w:val="center"/>
              <w:rPr>
                <w:highlight w:val="none"/>
              </w:rPr>
            </w:pPr>
            <w:r>
              <w:rPr>
                <w:rFonts w:hint="eastAsia" w:ascii="宋体" w:hAnsi="宋体" w:cs="宋体"/>
                <w:szCs w:val="24"/>
                <w:highlight w:val="none"/>
              </w:rPr>
              <w:t>需提供相关人员近三个月的社保缴纳证明材料。（2024年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val="en-US" w:eastAsia="zh-CN"/>
              </w:rPr>
              <w:t>7</w:t>
            </w:r>
            <w:r>
              <w:rPr>
                <w:rFonts w:hint="eastAsia" w:ascii="宋体" w:hAnsi="宋体" w:cs="宋体"/>
                <w:szCs w:val="24"/>
                <w:highlight w:val="none"/>
              </w:rPr>
              <w:t>月）</w:t>
            </w:r>
          </w:p>
        </w:tc>
        <w:tc>
          <w:tcPr>
            <w:tcW w:w="749" w:type="dxa"/>
            <w:vAlign w:val="center"/>
          </w:tcPr>
          <w:p w14:paraId="27A60BF6">
            <w:pPr>
              <w:pStyle w:val="52"/>
              <w:widowControl/>
              <w:autoSpaceDE w:val="0"/>
              <w:autoSpaceDN w:val="0"/>
              <w:spacing w:line="360" w:lineRule="auto"/>
              <w:ind w:firstLine="0" w:firstLineChars="0"/>
              <w:jc w:val="center"/>
              <w:rPr>
                <w:rFonts w:hAnsi="宋体" w:cs="宋体"/>
                <w:snapToGrid w:val="0"/>
                <w:szCs w:val="24"/>
                <w:highlight w:val="none"/>
              </w:rPr>
            </w:pPr>
            <w:r>
              <w:rPr>
                <w:rFonts w:hint="eastAsia" w:hAnsi="宋体" w:cs="宋体"/>
                <w:snapToGrid w:val="0"/>
                <w:szCs w:val="24"/>
                <w:highlight w:val="none"/>
              </w:rPr>
              <w:t>17</w:t>
            </w:r>
          </w:p>
        </w:tc>
      </w:tr>
      <w:tr w14:paraId="658E2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762" w:type="dxa"/>
            <w:vMerge w:val="continue"/>
            <w:vAlign w:val="center"/>
          </w:tcPr>
          <w:p w14:paraId="404E47E4">
            <w:pPr>
              <w:ind w:firstLine="482"/>
              <w:jc w:val="center"/>
              <w:textAlignment w:val="center"/>
              <w:rPr>
                <w:rFonts w:hAnsi="宋体" w:cs="宋体"/>
                <w:b/>
                <w:bCs/>
                <w:szCs w:val="24"/>
                <w:highlight w:val="none"/>
                <w:lang w:bidi="ar"/>
              </w:rPr>
            </w:pPr>
          </w:p>
        </w:tc>
        <w:tc>
          <w:tcPr>
            <w:tcW w:w="7247" w:type="dxa"/>
            <w:vAlign w:val="center"/>
          </w:tcPr>
          <w:p w14:paraId="4D0D0E85">
            <w:pPr>
              <w:ind w:firstLine="0" w:firstLineChars="0"/>
              <w:jc w:val="left"/>
              <w:textAlignment w:val="center"/>
              <w:rPr>
                <w:rFonts w:ascii="宋体" w:hAnsi="宋体" w:cs="宋体"/>
                <w:szCs w:val="24"/>
                <w:highlight w:val="none"/>
              </w:rPr>
            </w:pPr>
            <w:r>
              <w:rPr>
                <w:rFonts w:hint="eastAsia" w:ascii="宋体" w:hAnsi="宋体" w:cs="宋体"/>
                <w:szCs w:val="24"/>
                <w:highlight w:val="none"/>
              </w:rPr>
              <w:t>服务方案设计：</w:t>
            </w:r>
          </w:p>
          <w:p w14:paraId="76886400">
            <w:pPr>
              <w:ind w:firstLine="0" w:firstLineChars="0"/>
              <w:jc w:val="left"/>
              <w:textAlignment w:val="center"/>
              <w:rPr>
                <w:rFonts w:ascii="宋体" w:hAnsi="宋体" w:cs="宋体"/>
                <w:szCs w:val="24"/>
                <w:highlight w:val="none"/>
              </w:rPr>
            </w:pPr>
            <w:r>
              <w:rPr>
                <w:rFonts w:hint="eastAsia" w:ascii="宋体" w:hAnsi="宋体" w:cs="宋体"/>
                <w:szCs w:val="24"/>
                <w:highlight w:val="none"/>
              </w:rPr>
              <w:t>至少包含但不限于安全评估服务、应急演练服务、安全培训服务、安全运维服务和针对办公网设备加固的相关实施工作计划，方案在针对性、合理性、实用性、专业性等方面，体现一般得10-13分；良得14-16分；优得17-20分。无此项内容得0分。</w:t>
            </w:r>
          </w:p>
          <w:p w14:paraId="4CDF1E43">
            <w:pPr>
              <w:ind w:firstLine="0" w:firstLineChars="0"/>
              <w:jc w:val="left"/>
              <w:textAlignment w:val="center"/>
              <w:rPr>
                <w:rFonts w:ascii="宋体" w:hAnsi="宋体" w:cs="宋体"/>
                <w:szCs w:val="24"/>
                <w:highlight w:val="none"/>
              </w:rPr>
            </w:pPr>
            <w:r>
              <w:rPr>
                <w:rFonts w:hint="eastAsia" w:ascii="宋体" w:hAnsi="宋体" w:cs="宋体"/>
                <w:szCs w:val="24"/>
                <w:highlight w:val="none"/>
              </w:rPr>
              <w:t>注：每少一类方案扣4分</w:t>
            </w:r>
          </w:p>
        </w:tc>
        <w:tc>
          <w:tcPr>
            <w:tcW w:w="749" w:type="dxa"/>
            <w:vAlign w:val="center"/>
          </w:tcPr>
          <w:p w14:paraId="56DAF36A">
            <w:pPr>
              <w:pStyle w:val="52"/>
              <w:widowControl/>
              <w:autoSpaceDE w:val="0"/>
              <w:autoSpaceDN w:val="0"/>
              <w:spacing w:line="360" w:lineRule="auto"/>
              <w:ind w:firstLine="0" w:firstLineChars="0"/>
              <w:jc w:val="center"/>
              <w:rPr>
                <w:rFonts w:hAnsi="宋体" w:cs="宋体"/>
                <w:snapToGrid w:val="0"/>
                <w:szCs w:val="24"/>
                <w:highlight w:val="none"/>
              </w:rPr>
            </w:pPr>
            <w:r>
              <w:rPr>
                <w:rFonts w:hint="eastAsia" w:hAnsi="宋体" w:cs="宋体"/>
                <w:snapToGrid w:val="0"/>
                <w:szCs w:val="24"/>
                <w:highlight w:val="none"/>
              </w:rPr>
              <w:t>20</w:t>
            </w:r>
          </w:p>
        </w:tc>
      </w:tr>
      <w:tr w14:paraId="07562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009" w:type="dxa"/>
            <w:gridSpan w:val="2"/>
            <w:vAlign w:val="center"/>
          </w:tcPr>
          <w:p w14:paraId="04FE0954">
            <w:pPr>
              <w:snapToGrid w:val="0"/>
              <w:ind w:firstLine="482"/>
              <w:jc w:val="center"/>
              <w:rPr>
                <w:rFonts w:hAnsi="宋体" w:cs="宋体"/>
                <w:snapToGrid w:val="0"/>
                <w:szCs w:val="24"/>
                <w:highlight w:val="none"/>
              </w:rPr>
            </w:pPr>
            <w:r>
              <w:rPr>
                <w:rFonts w:hint="eastAsia" w:hAnsi="宋体" w:cs="宋体"/>
                <w:b/>
                <w:bCs/>
                <w:snapToGrid w:val="0"/>
                <w:szCs w:val="24"/>
                <w:highlight w:val="none"/>
              </w:rPr>
              <w:t>总分70分</w:t>
            </w:r>
          </w:p>
        </w:tc>
        <w:tc>
          <w:tcPr>
            <w:tcW w:w="749" w:type="dxa"/>
            <w:vAlign w:val="center"/>
          </w:tcPr>
          <w:p w14:paraId="4B8A3A97">
            <w:pPr>
              <w:snapToGrid w:val="0"/>
              <w:ind w:firstLine="480"/>
              <w:jc w:val="center"/>
              <w:rPr>
                <w:rFonts w:hAnsi="宋体" w:cs="宋体"/>
                <w:snapToGrid w:val="0"/>
                <w:szCs w:val="24"/>
                <w:highlight w:val="none"/>
              </w:rPr>
            </w:pPr>
          </w:p>
        </w:tc>
      </w:tr>
    </w:tbl>
    <w:p w14:paraId="2432FB96">
      <w:pPr>
        <w:pStyle w:val="42"/>
        <w:ind w:firstLine="480"/>
        <w:rPr>
          <w:rFonts w:ascii="宋体" w:hAnsi="宋体"/>
          <w:sz w:val="24"/>
          <w:highlight w:val="none"/>
        </w:rPr>
      </w:pPr>
    </w:p>
    <w:p w14:paraId="7B65889D">
      <w:pPr>
        <w:ind w:firstLine="0" w:firstLineChars="0"/>
        <w:rPr>
          <w:rFonts w:ascii="宋体" w:hAnsi="宋体" w:cs="宋体"/>
          <w:snapToGrid w:val="0"/>
          <w:szCs w:val="24"/>
          <w:highlight w:val="none"/>
        </w:rPr>
      </w:pPr>
      <w:r>
        <w:rPr>
          <w:rFonts w:hint="eastAsia" w:ascii="宋体" w:hAnsi="宋体" w:cs="宋体"/>
          <w:snapToGrid w:val="0"/>
          <w:szCs w:val="24"/>
          <w:highlight w:val="none"/>
        </w:rPr>
        <w:t>③详细评审标准—报价部分（满分30分）</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84"/>
        <w:gridCol w:w="6967"/>
        <w:gridCol w:w="771"/>
      </w:tblGrid>
      <w:tr w14:paraId="5909C4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784" w:type="dxa"/>
            <w:tcBorders>
              <w:tl2br w:val="nil"/>
              <w:tr2bl w:val="nil"/>
            </w:tcBorders>
            <w:vAlign w:val="center"/>
          </w:tcPr>
          <w:p w14:paraId="39679EE2">
            <w:pPr>
              <w:ind w:firstLine="0" w:firstLineChars="0"/>
              <w:rPr>
                <w:rFonts w:hAnsi="宋体" w:cs="宋体"/>
                <w:b/>
                <w:bCs/>
                <w:snapToGrid w:val="0"/>
                <w:szCs w:val="24"/>
                <w:highlight w:val="none"/>
              </w:rPr>
            </w:pPr>
            <w:r>
              <w:rPr>
                <w:rFonts w:hint="eastAsia" w:hAnsi="宋体" w:cs="宋体"/>
                <w:b/>
                <w:bCs/>
                <w:snapToGrid w:val="0"/>
                <w:szCs w:val="24"/>
                <w:highlight w:val="none"/>
              </w:rPr>
              <w:t>评分因素</w:t>
            </w:r>
          </w:p>
        </w:tc>
        <w:tc>
          <w:tcPr>
            <w:tcW w:w="6967" w:type="dxa"/>
            <w:tcBorders>
              <w:tl2br w:val="nil"/>
              <w:tr2bl w:val="nil"/>
            </w:tcBorders>
            <w:vAlign w:val="center"/>
          </w:tcPr>
          <w:p w14:paraId="444CDE50">
            <w:pPr>
              <w:ind w:firstLine="0" w:firstLineChars="0"/>
              <w:rPr>
                <w:rFonts w:hAnsi="宋体" w:cs="宋体"/>
                <w:b/>
                <w:bCs/>
                <w:snapToGrid w:val="0"/>
                <w:szCs w:val="24"/>
                <w:highlight w:val="none"/>
              </w:rPr>
            </w:pPr>
            <w:r>
              <w:rPr>
                <w:rFonts w:hint="eastAsia" w:hAnsi="宋体" w:cs="宋体"/>
                <w:b/>
                <w:bCs/>
                <w:snapToGrid w:val="0"/>
                <w:szCs w:val="24"/>
                <w:highlight w:val="none"/>
              </w:rPr>
              <w:t>评分标准</w:t>
            </w:r>
          </w:p>
        </w:tc>
        <w:tc>
          <w:tcPr>
            <w:tcW w:w="771" w:type="dxa"/>
            <w:tcBorders>
              <w:tl2br w:val="nil"/>
              <w:tr2bl w:val="nil"/>
            </w:tcBorders>
            <w:vAlign w:val="center"/>
          </w:tcPr>
          <w:p w14:paraId="532CBC5C">
            <w:pPr>
              <w:ind w:firstLine="0" w:firstLineChars="0"/>
              <w:rPr>
                <w:rFonts w:hint="eastAsia" w:hAnsi="宋体" w:cs="宋体"/>
                <w:b/>
                <w:bCs/>
                <w:snapToGrid w:val="0"/>
                <w:szCs w:val="24"/>
                <w:highlight w:val="none"/>
              </w:rPr>
            </w:pPr>
            <w:r>
              <w:rPr>
                <w:rFonts w:hint="eastAsia" w:hAnsi="宋体" w:cs="宋体"/>
                <w:b/>
                <w:bCs/>
                <w:snapToGrid w:val="0"/>
                <w:szCs w:val="24"/>
                <w:highlight w:val="none"/>
              </w:rPr>
              <w:t>分值</w:t>
            </w:r>
          </w:p>
        </w:tc>
      </w:tr>
      <w:tr w14:paraId="7090A1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3" w:hRule="atLeast"/>
          <w:jc w:val="center"/>
        </w:trPr>
        <w:tc>
          <w:tcPr>
            <w:tcW w:w="784" w:type="dxa"/>
            <w:tcBorders>
              <w:tl2br w:val="nil"/>
              <w:tr2bl w:val="nil"/>
            </w:tcBorders>
            <w:vAlign w:val="center"/>
          </w:tcPr>
          <w:p w14:paraId="6A796387">
            <w:pPr>
              <w:ind w:firstLine="0" w:firstLineChars="0"/>
              <w:rPr>
                <w:rFonts w:hAnsi="宋体" w:cs="宋体"/>
                <w:b/>
                <w:bCs/>
                <w:snapToGrid w:val="0"/>
                <w:szCs w:val="24"/>
                <w:highlight w:val="none"/>
              </w:rPr>
            </w:pPr>
            <w:r>
              <w:rPr>
                <w:rFonts w:hint="eastAsia" w:hAnsi="宋体" w:cs="宋体"/>
                <w:b/>
                <w:bCs/>
                <w:snapToGrid w:val="0"/>
                <w:szCs w:val="24"/>
                <w:highlight w:val="none"/>
              </w:rPr>
              <w:t>报价</w:t>
            </w:r>
            <w:r>
              <w:rPr>
                <w:rFonts w:hint="eastAsia" w:hAnsi="宋体" w:cs="宋体"/>
                <w:b/>
                <w:bCs/>
                <w:snapToGrid w:val="0"/>
                <w:szCs w:val="24"/>
                <w:highlight w:val="none"/>
                <w:lang w:val="en-US" w:eastAsia="zh-CN"/>
              </w:rPr>
              <w:t>3</w:t>
            </w:r>
            <w:r>
              <w:rPr>
                <w:rFonts w:hint="eastAsia" w:hAnsi="宋体" w:cs="宋体"/>
                <w:b/>
                <w:bCs/>
                <w:snapToGrid w:val="0"/>
                <w:szCs w:val="24"/>
                <w:highlight w:val="none"/>
              </w:rPr>
              <w:t>0分</w:t>
            </w:r>
          </w:p>
        </w:tc>
        <w:tc>
          <w:tcPr>
            <w:tcW w:w="6967" w:type="dxa"/>
            <w:tcBorders>
              <w:tl2br w:val="nil"/>
              <w:tr2bl w:val="nil"/>
            </w:tcBorders>
            <w:vAlign w:val="center"/>
          </w:tcPr>
          <w:p w14:paraId="36B6ED64">
            <w:pPr>
              <w:ind w:firstLine="0" w:firstLineChars="0"/>
              <w:rPr>
                <w:rFonts w:hint="eastAsia" w:ascii="宋体" w:hAnsi="宋体" w:cs="宋体"/>
                <w:snapToGrid w:val="0"/>
                <w:szCs w:val="24"/>
                <w:highlight w:val="none"/>
              </w:rPr>
            </w:pPr>
            <w:r>
              <w:rPr>
                <w:rFonts w:hint="eastAsia" w:ascii="宋体" w:hAnsi="宋体" w:cs="宋体"/>
                <w:snapToGrid w:val="0"/>
                <w:szCs w:val="24"/>
                <w:highlight w:val="none"/>
              </w:rPr>
              <w:t>1、采用有效报价（经初步评审合格且不低于成本的投标报价算术平均值为评标基准价，计算公式为：</w:t>
            </w:r>
          </w:p>
          <w:p w14:paraId="07857FC7">
            <w:pPr>
              <w:ind w:firstLine="0" w:firstLineChars="0"/>
              <w:rPr>
                <w:rFonts w:hint="eastAsia" w:ascii="宋体" w:hAnsi="宋体" w:cs="宋体"/>
                <w:snapToGrid w:val="0"/>
                <w:szCs w:val="24"/>
                <w:highlight w:val="none"/>
              </w:rPr>
            </w:pPr>
            <w:r>
              <w:rPr>
                <w:rFonts w:hint="eastAsia" w:ascii="宋体" w:hAnsi="宋体" w:cs="宋体"/>
                <w:snapToGrid w:val="0"/>
                <w:szCs w:val="24"/>
                <w:highlight w:val="none"/>
              </w:rPr>
              <w:t>S（评标基准价）= （a1 +……+an）/n，a为有效的投标报价。</w:t>
            </w:r>
          </w:p>
          <w:p w14:paraId="6DEBFD6E">
            <w:pPr>
              <w:ind w:firstLine="0" w:firstLineChars="0"/>
              <w:rPr>
                <w:rFonts w:hint="eastAsia" w:ascii="宋体" w:hAnsi="宋体" w:cs="宋体"/>
                <w:snapToGrid w:val="0"/>
                <w:szCs w:val="24"/>
                <w:highlight w:val="none"/>
              </w:rPr>
            </w:pPr>
            <w:r>
              <w:rPr>
                <w:rFonts w:hint="eastAsia" w:ascii="宋体" w:hAnsi="宋体" w:cs="宋体"/>
                <w:snapToGrid w:val="0"/>
                <w:szCs w:val="24"/>
                <w:highlight w:val="none"/>
              </w:rPr>
              <w:t>2、偏差率=100% ×︱（投标人报价-评标基准价）︱/评标基准价</w:t>
            </w:r>
          </w:p>
          <w:p w14:paraId="3B43D09D">
            <w:pPr>
              <w:ind w:firstLine="0" w:firstLineChars="0"/>
              <w:rPr>
                <w:rFonts w:hAnsi="宋体" w:cs="宋体"/>
                <w:b/>
                <w:bCs/>
                <w:snapToGrid w:val="0"/>
                <w:szCs w:val="24"/>
                <w:highlight w:val="none"/>
              </w:rPr>
            </w:pPr>
            <w:r>
              <w:rPr>
                <w:rFonts w:hint="eastAsia" w:ascii="宋体" w:hAnsi="宋体" w:cs="宋体"/>
                <w:snapToGrid w:val="0"/>
                <w:szCs w:val="24"/>
                <w:highlight w:val="none"/>
              </w:rPr>
              <w:t>3、以基准价为准，有效投标的评审价等于基准价的得满分，有效投标的评审价低于基准价的，每低1%扣0.5分，有效投标的评审价高于基准价的，每高1%扣1分，中间值用插入法进行计算，小数点后保留两位。</w:t>
            </w:r>
          </w:p>
        </w:tc>
        <w:tc>
          <w:tcPr>
            <w:tcW w:w="771" w:type="dxa"/>
            <w:tcBorders>
              <w:tl2br w:val="nil"/>
              <w:tr2bl w:val="nil"/>
            </w:tcBorders>
            <w:vAlign w:val="center"/>
          </w:tcPr>
          <w:p w14:paraId="4A720A55">
            <w:pPr>
              <w:ind w:firstLine="0" w:firstLineChars="0"/>
              <w:rPr>
                <w:rFonts w:hint="eastAsia" w:ascii="宋体" w:hAnsi="宋体" w:cs="宋体"/>
                <w:b/>
                <w:bCs/>
                <w:snapToGrid w:val="0"/>
                <w:szCs w:val="24"/>
                <w:highlight w:val="none"/>
                <w:lang w:val="zh-CN"/>
              </w:rPr>
            </w:pPr>
            <w:r>
              <w:rPr>
                <w:rFonts w:hint="eastAsia" w:hAnsi="宋体" w:cs="宋体"/>
                <w:b/>
                <w:bCs/>
                <w:snapToGrid w:val="0"/>
                <w:szCs w:val="24"/>
                <w:highlight w:val="none"/>
              </w:rPr>
              <w:t>30分</w:t>
            </w:r>
          </w:p>
        </w:tc>
      </w:tr>
    </w:tbl>
    <w:p w14:paraId="0BB2FA06">
      <w:pPr>
        <w:widowControl/>
        <w:ind w:firstLine="480"/>
        <w:jc w:val="left"/>
        <w:rPr>
          <w:rFonts w:ascii="宋体" w:hAnsi="宋体"/>
          <w:highlight w:val="none"/>
        </w:rPr>
      </w:pPr>
      <w:r>
        <w:rPr>
          <w:rFonts w:hint="eastAsia" w:ascii="宋体" w:hAnsi="宋体"/>
          <w:highlight w:val="none"/>
        </w:rPr>
        <w:t>⑤比选申请人的最终得分=技术商务部分得分+报价部分得分。</w:t>
      </w:r>
    </w:p>
    <w:p w14:paraId="78FAA25A">
      <w:pPr>
        <w:widowControl/>
        <w:ind w:firstLine="480"/>
        <w:jc w:val="left"/>
        <w:rPr>
          <w:rFonts w:ascii="宋体" w:hAnsi="宋体"/>
          <w:highlight w:val="none"/>
        </w:rPr>
      </w:pPr>
      <w:r>
        <w:rPr>
          <w:rFonts w:hint="eastAsia" w:ascii="宋体" w:hAnsi="宋体"/>
          <w:highlight w:val="none"/>
        </w:rPr>
        <w:t>⑥评标委员</w:t>
      </w:r>
      <w:r>
        <w:rPr>
          <w:rFonts w:ascii="宋体" w:hAnsi="宋体"/>
          <w:highlight w:val="none"/>
        </w:rPr>
        <w:t>会对</w:t>
      </w:r>
      <w:r>
        <w:rPr>
          <w:rFonts w:hint="eastAsia" w:ascii="宋体" w:hAnsi="宋体"/>
          <w:highlight w:val="none"/>
        </w:rPr>
        <w:t>比选申请</w:t>
      </w:r>
      <w:r>
        <w:rPr>
          <w:rFonts w:ascii="宋体" w:hAnsi="宋体"/>
          <w:highlight w:val="none"/>
        </w:rPr>
        <w:t>文件中的有关内容有疑问的部分，可以向</w:t>
      </w:r>
      <w:r>
        <w:rPr>
          <w:rFonts w:hint="eastAsia" w:ascii="宋体" w:hAnsi="宋体"/>
          <w:highlight w:val="none"/>
        </w:rPr>
        <w:t>比选申请人</w:t>
      </w:r>
      <w:r>
        <w:rPr>
          <w:rFonts w:ascii="宋体" w:hAnsi="宋体"/>
          <w:highlight w:val="none"/>
        </w:rPr>
        <w:t>书面质询，要求该</w:t>
      </w:r>
      <w:r>
        <w:rPr>
          <w:rFonts w:hint="eastAsia" w:ascii="宋体" w:hAnsi="宋体"/>
          <w:highlight w:val="none"/>
        </w:rPr>
        <w:t>比选申请人</w:t>
      </w:r>
      <w:r>
        <w:rPr>
          <w:rFonts w:ascii="宋体" w:hAnsi="宋体"/>
          <w:highlight w:val="none"/>
        </w:rPr>
        <w:t>做出书面澄清，但不得对</w:t>
      </w:r>
      <w:r>
        <w:rPr>
          <w:rFonts w:hint="eastAsia" w:ascii="宋体" w:hAnsi="宋体"/>
          <w:highlight w:val="none"/>
        </w:rPr>
        <w:t>比选申请</w:t>
      </w:r>
      <w:r>
        <w:rPr>
          <w:rFonts w:ascii="宋体" w:hAnsi="宋体"/>
          <w:highlight w:val="none"/>
        </w:rPr>
        <w:t>文件做实质性修改。最低报价不是被授予合同的唯一保证，未中标单位无权要求</w:t>
      </w:r>
      <w:r>
        <w:rPr>
          <w:rFonts w:hint="eastAsia" w:ascii="宋体" w:hAnsi="宋体"/>
          <w:highlight w:val="none"/>
        </w:rPr>
        <w:t>比选</w:t>
      </w:r>
      <w:r>
        <w:rPr>
          <w:rFonts w:ascii="宋体" w:hAnsi="宋体"/>
          <w:highlight w:val="none"/>
        </w:rPr>
        <w:t>单位向其澄清未中标的理由。</w:t>
      </w:r>
    </w:p>
    <w:p w14:paraId="3CF3CBBC">
      <w:pPr>
        <w:widowControl/>
        <w:ind w:firstLine="480"/>
        <w:jc w:val="left"/>
        <w:rPr>
          <w:rFonts w:ascii="宋体" w:hAnsi="宋体"/>
          <w:szCs w:val="22"/>
          <w:highlight w:val="none"/>
        </w:rPr>
      </w:pPr>
      <w:r>
        <w:rPr>
          <w:rFonts w:hint="eastAsia" w:ascii="宋体" w:hAnsi="宋体"/>
          <w:szCs w:val="22"/>
          <w:highlight w:val="none"/>
        </w:rPr>
        <w:t>4.3只有通过比选申请报价是否低于成本评审，未被认定为低于成本报价竞标的比选申请人方可能被推荐为中标候选人或直接确定为中标人。</w:t>
      </w:r>
    </w:p>
    <w:p w14:paraId="3E7AE80A">
      <w:pPr>
        <w:widowControl/>
        <w:ind w:firstLine="480"/>
        <w:jc w:val="left"/>
        <w:rPr>
          <w:rFonts w:ascii="宋体" w:hAnsi="宋体"/>
          <w:szCs w:val="22"/>
          <w:highlight w:val="none"/>
        </w:rPr>
      </w:pPr>
      <w:r>
        <w:rPr>
          <w:rFonts w:hint="eastAsia" w:ascii="宋体" w:hAnsi="宋体"/>
          <w:szCs w:val="22"/>
          <w:highlight w:val="none"/>
        </w:rPr>
        <w:t xml:space="preserve">4.4评标委员会按综合得分由高至低顺序依次推荐前 1-3 名为中标候人，并注明排名顺序。 </w:t>
      </w:r>
    </w:p>
    <w:p w14:paraId="420484D9">
      <w:pPr>
        <w:widowControl/>
        <w:ind w:firstLine="480"/>
        <w:jc w:val="left"/>
        <w:rPr>
          <w:rFonts w:ascii="宋体" w:hAnsi="宋体"/>
          <w:highlight w:val="none"/>
        </w:rPr>
      </w:pPr>
      <w:r>
        <w:rPr>
          <w:rFonts w:hint="eastAsia" w:ascii="宋体" w:hAnsi="宋体"/>
          <w:szCs w:val="22"/>
          <w:highlight w:val="none"/>
        </w:rPr>
        <w:t>4.5采用综合评分法时，若比选申请人得分相同，评标委员会应按照评审价从低到高的顺序推荐中标候选人或直接确定中标人，若评审价再相同，由比选人确定中标候选人顺序或直接确定中标人。</w:t>
      </w:r>
    </w:p>
    <w:p w14:paraId="7832CB73">
      <w:pPr>
        <w:pStyle w:val="3"/>
        <w:numPr>
          <w:ilvl w:val="0"/>
          <w:numId w:val="9"/>
        </w:numPr>
        <w:rPr>
          <w:highlight w:val="none"/>
        </w:rPr>
      </w:pPr>
      <w:bookmarkStart w:id="366" w:name="_Toc13501"/>
      <w:bookmarkStart w:id="367" w:name="_Toc19271"/>
      <w:bookmarkStart w:id="368" w:name="_Toc3151"/>
      <w:bookmarkStart w:id="369" w:name="_Toc15899"/>
      <w:bookmarkStart w:id="370" w:name="_Toc22929"/>
      <w:bookmarkStart w:id="371" w:name="_Toc14138"/>
      <w:bookmarkStart w:id="372" w:name="_Toc12109"/>
      <w:bookmarkStart w:id="373" w:name="_Toc30788"/>
      <w:bookmarkStart w:id="374" w:name="_Toc22134"/>
      <w:r>
        <w:rPr>
          <w:rFonts w:hint="eastAsia"/>
          <w:highlight w:val="none"/>
        </w:rPr>
        <w:t>计算错误的修</w:t>
      </w:r>
      <w:bookmarkEnd w:id="366"/>
      <w:r>
        <w:rPr>
          <w:rFonts w:hint="eastAsia"/>
          <w:highlight w:val="none"/>
        </w:rPr>
        <w:t>正</w:t>
      </w:r>
      <w:bookmarkEnd w:id="367"/>
      <w:bookmarkEnd w:id="368"/>
      <w:bookmarkEnd w:id="369"/>
      <w:bookmarkEnd w:id="370"/>
      <w:bookmarkEnd w:id="371"/>
      <w:bookmarkEnd w:id="372"/>
      <w:bookmarkEnd w:id="373"/>
      <w:bookmarkEnd w:id="374"/>
    </w:p>
    <w:p w14:paraId="75080D0C">
      <w:pPr>
        <w:ind w:firstLine="480"/>
        <w:rPr>
          <w:rFonts w:ascii="宋体" w:hAnsi="宋体"/>
          <w:highlight w:val="none"/>
        </w:rPr>
      </w:pPr>
      <w:r>
        <w:rPr>
          <w:rFonts w:hint="eastAsia" w:ascii="宋体" w:hAnsi="宋体"/>
          <w:highlight w:val="none"/>
        </w:rPr>
        <w:t>5.1 比选申请文件中如果出现计算上或累加上的算术错误，可按以下原则进行修正：</w:t>
      </w:r>
    </w:p>
    <w:p w14:paraId="27B768C4">
      <w:pPr>
        <w:ind w:firstLine="480"/>
        <w:rPr>
          <w:rFonts w:ascii="宋体" w:hAnsi="宋体"/>
          <w:highlight w:val="none"/>
        </w:rPr>
      </w:pPr>
      <w:r>
        <w:rPr>
          <w:rFonts w:hint="eastAsia" w:ascii="宋体" w:hAnsi="宋体"/>
          <w:highlight w:val="none"/>
        </w:rPr>
        <w:t>5.1.1用数字表示的金额和用文字表示的金额不一致，应以文字表示的金额为准。</w:t>
      </w:r>
    </w:p>
    <w:p w14:paraId="2CD7CC02">
      <w:pPr>
        <w:ind w:firstLine="480"/>
        <w:rPr>
          <w:rFonts w:ascii="宋体" w:hAnsi="宋体"/>
          <w:highlight w:val="none"/>
        </w:rPr>
      </w:pPr>
      <w:r>
        <w:rPr>
          <w:rFonts w:hint="eastAsia" w:ascii="宋体" w:hAnsi="宋体"/>
          <w:highlight w:val="none"/>
        </w:rPr>
        <w:t>5.1.2单价和数量的乘积与总价不一致时，以单价为准，并修正总价。</w:t>
      </w:r>
    </w:p>
    <w:p w14:paraId="47163EC0">
      <w:pPr>
        <w:ind w:firstLine="480"/>
        <w:rPr>
          <w:rFonts w:ascii="宋体" w:hAnsi="宋体"/>
          <w:highlight w:val="none"/>
        </w:rPr>
      </w:pPr>
      <w:r>
        <w:rPr>
          <w:rFonts w:hint="eastAsia" w:ascii="宋体" w:hAnsi="宋体"/>
          <w:highlight w:val="none"/>
        </w:rPr>
        <w:t>5.1.3单价金额小数点有明显错误的，以总价为准，修正单价。</w:t>
      </w:r>
    </w:p>
    <w:p w14:paraId="25F1790C">
      <w:pPr>
        <w:ind w:firstLine="480"/>
        <w:rPr>
          <w:rFonts w:ascii="宋体" w:hAnsi="宋体"/>
          <w:highlight w:val="none"/>
        </w:rPr>
      </w:pPr>
      <w:r>
        <w:rPr>
          <w:rFonts w:hint="eastAsia" w:ascii="宋体" w:hAnsi="宋体"/>
          <w:highlight w:val="none"/>
        </w:rPr>
        <w:t>5.2按上述修正错误的方法调整的比选申请报价应对比选申请人具有约束力。如果比选申请人不接受修正后的价格，其比选申请将被拒绝。</w:t>
      </w:r>
    </w:p>
    <w:p w14:paraId="37DC38F0">
      <w:pPr>
        <w:pStyle w:val="3"/>
        <w:numPr>
          <w:ilvl w:val="0"/>
          <w:numId w:val="9"/>
        </w:numPr>
        <w:rPr>
          <w:highlight w:val="none"/>
        </w:rPr>
      </w:pPr>
      <w:bookmarkStart w:id="375" w:name="_Toc17877"/>
      <w:bookmarkStart w:id="376" w:name="_Toc24584"/>
      <w:bookmarkStart w:id="377" w:name="_Toc846"/>
      <w:bookmarkStart w:id="378" w:name="_Toc15912"/>
      <w:bookmarkStart w:id="379" w:name="_Toc25427"/>
      <w:bookmarkStart w:id="380" w:name="_Toc19124"/>
      <w:bookmarkStart w:id="381" w:name="_Toc6656"/>
      <w:bookmarkStart w:id="382" w:name="_Toc10397"/>
      <w:bookmarkStart w:id="383" w:name="_Toc5801"/>
      <w:r>
        <w:rPr>
          <w:rFonts w:hint="eastAsia"/>
          <w:highlight w:val="none"/>
        </w:rPr>
        <w:t>比选</w:t>
      </w:r>
      <w:r>
        <w:rPr>
          <w:highlight w:val="none"/>
        </w:rPr>
        <w:t>结果</w:t>
      </w:r>
      <w:bookmarkEnd w:id="375"/>
      <w:bookmarkEnd w:id="376"/>
      <w:bookmarkEnd w:id="377"/>
      <w:bookmarkEnd w:id="378"/>
      <w:bookmarkEnd w:id="379"/>
      <w:bookmarkEnd w:id="380"/>
      <w:bookmarkEnd w:id="381"/>
      <w:bookmarkEnd w:id="382"/>
      <w:bookmarkEnd w:id="383"/>
    </w:p>
    <w:p w14:paraId="6FAC03C8">
      <w:pPr>
        <w:ind w:firstLine="480"/>
        <w:rPr>
          <w:rFonts w:ascii="宋体" w:hAnsi="宋体"/>
          <w:highlight w:val="none"/>
        </w:rPr>
      </w:pPr>
      <w:r>
        <w:rPr>
          <w:rFonts w:hint="eastAsia" w:ascii="宋体" w:hAnsi="宋体"/>
          <w:highlight w:val="none"/>
        </w:rPr>
        <w:t>6</w:t>
      </w:r>
      <w:r>
        <w:rPr>
          <w:rFonts w:ascii="宋体" w:hAnsi="宋体"/>
          <w:highlight w:val="none"/>
        </w:rPr>
        <w:t>.1</w:t>
      </w:r>
      <w:r>
        <w:rPr>
          <w:rFonts w:hint="eastAsia" w:ascii="宋体" w:hAnsi="宋体"/>
          <w:highlight w:val="none"/>
        </w:rPr>
        <w:t>评标委员会按得分高低顺序推荐综合评价得分前三名为中标候选人(推荐不足3名时取相应的数量)。</w:t>
      </w:r>
    </w:p>
    <w:p w14:paraId="639E8DBD">
      <w:pPr>
        <w:ind w:firstLine="480"/>
        <w:rPr>
          <w:rFonts w:ascii="宋体" w:hAnsi="宋体"/>
          <w:highlight w:val="none"/>
        </w:rPr>
      </w:pPr>
      <w:r>
        <w:rPr>
          <w:rFonts w:hint="eastAsia" w:ascii="宋体" w:hAnsi="宋体"/>
          <w:highlight w:val="none"/>
        </w:rPr>
        <w:t>6</w:t>
      </w:r>
      <w:r>
        <w:rPr>
          <w:rFonts w:ascii="宋体" w:hAnsi="宋体"/>
          <w:highlight w:val="none"/>
        </w:rPr>
        <w:t xml:space="preserve">.2 </w:t>
      </w:r>
      <w:r>
        <w:rPr>
          <w:rFonts w:hint="eastAsia" w:ascii="宋体" w:hAnsi="宋体"/>
          <w:highlight w:val="none"/>
        </w:rPr>
        <w:t>评标委员</w:t>
      </w:r>
      <w:r>
        <w:rPr>
          <w:rFonts w:ascii="宋体" w:hAnsi="宋体"/>
          <w:highlight w:val="none"/>
        </w:rPr>
        <w:t>会完成</w:t>
      </w:r>
      <w:r>
        <w:rPr>
          <w:rFonts w:hint="eastAsia" w:ascii="宋体" w:hAnsi="宋体"/>
          <w:highlight w:val="none"/>
        </w:rPr>
        <w:t>比选</w:t>
      </w:r>
      <w:r>
        <w:rPr>
          <w:rFonts w:ascii="宋体" w:hAnsi="宋体"/>
          <w:highlight w:val="none"/>
        </w:rPr>
        <w:t>后，应当向</w:t>
      </w:r>
      <w:r>
        <w:rPr>
          <w:rFonts w:hint="eastAsia" w:ascii="宋体" w:hAnsi="宋体"/>
          <w:highlight w:val="none"/>
        </w:rPr>
        <w:t>比选</w:t>
      </w:r>
      <w:r>
        <w:rPr>
          <w:rFonts w:ascii="宋体" w:hAnsi="宋体"/>
          <w:highlight w:val="none"/>
        </w:rPr>
        <w:t>人提交书面</w:t>
      </w:r>
      <w:r>
        <w:rPr>
          <w:rFonts w:hint="eastAsia" w:ascii="宋体" w:hAnsi="宋体"/>
          <w:highlight w:val="none"/>
        </w:rPr>
        <w:t>比选</w:t>
      </w:r>
      <w:r>
        <w:rPr>
          <w:rFonts w:ascii="宋体" w:hAnsi="宋体"/>
          <w:highlight w:val="none"/>
        </w:rPr>
        <w:t>报告。</w:t>
      </w:r>
    </w:p>
    <w:p w14:paraId="069DC5A8">
      <w:pPr>
        <w:pStyle w:val="3"/>
        <w:ind w:firstLine="452" w:firstLineChars="150"/>
        <w:rPr>
          <w:highlight w:val="none"/>
        </w:rPr>
      </w:pPr>
      <w:bookmarkStart w:id="384" w:name="_Toc17735"/>
      <w:bookmarkStart w:id="385" w:name="_Toc773"/>
      <w:bookmarkStart w:id="386" w:name="_Toc9996"/>
      <w:bookmarkStart w:id="387" w:name="_Toc26605"/>
      <w:bookmarkStart w:id="388" w:name="_Toc18850"/>
      <w:bookmarkStart w:id="389" w:name="_Toc487650586"/>
      <w:bookmarkStart w:id="390" w:name="_Toc17755"/>
      <w:bookmarkStart w:id="391" w:name="_Toc2206"/>
      <w:bookmarkStart w:id="392" w:name="_Toc15102"/>
      <w:bookmarkStart w:id="393" w:name="_Toc8661"/>
      <w:r>
        <w:rPr>
          <w:rFonts w:hint="eastAsia"/>
          <w:highlight w:val="none"/>
        </w:rPr>
        <w:t>7. 比选</w:t>
      </w:r>
      <w:r>
        <w:rPr>
          <w:rFonts w:hint="eastAsia"/>
          <w:highlight w:val="none"/>
          <w:lang w:val="en-US" w:eastAsia="zh-CN"/>
        </w:rPr>
        <w:t>委员会</w:t>
      </w:r>
      <w:r>
        <w:rPr>
          <w:rFonts w:hint="eastAsia"/>
          <w:highlight w:val="none"/>
        </w:rPr>
        <w:t>在比选活动中承担以下义务</w:t>
      </w:r>
      <w:bookmarkEnd w:id="384"/>
      <w:bookmarkEnd w:id="385"/>
      <w:bookmarkEnd w:id="386"/>
      <w:bookmarkEnd w:id="387"/>
      <w:bookmarkEnd w:id="388"/>
      <w:bookmarkEnd w:id="389"/>
      <w:bookmarkEnd w:id="390"/>
      <w:bookmarkEnd w:id="391"/>
      <w:bookmarkEnd w:id="392"/>
      <w:bookmarkEnd w:id="393"/>
    </w:p>
    <w:p w14:paraId="385433CF">
      <w:pPr>
        <w:widowControl/>
        <w:autoSpaceDE w:val="0"/>
        <w:autoSpaceDN w:val="0"/>
        <w:ind w:firstLine="480"/>
        <w:textAlignment w:val="bottom"/>
        <w:rPr>
          <w:rFonts w:ascii="宋体" w:hAnsi="宋体" w:cs="宋体"/>
          <w:highlight w:val="none"/>
        </w:rPr>
      </w:pPr>
      <w:r>
        <w:rPr>
          <w:rFonts w:hint="eastAsia" w:ascii="宋体" w:hAnsi="宋体" w:cs="宋体"/>
          <w:highlight w:val="none"/>
        </w:rPr>
        <w:t>7.1 遵纪守法，客观、公正、廉洁地履行职责。</w:t>
      </w:r>
    </w:p>
    <w:p w14:paraId="5D307F2A">
      <w:pPr>
        <w:widowControl/>
        <w:autoSpaceDE w:val="0"/>
        <w:autoSpaceDN w:val="0"/>
        <w:ind w:firstLine="480"/>
        <w:textAlignment w:val="bottom"/>
        <w:rPr>
          <w:rFonts w:ascii="宋体" w:hAnsi="宋体" w:cs="宋体"/>
          <w:highlight w:val="none"/>
        </w:rPr>
      </w:pPr>
      <w:r>
        <w:rPr>
          <w:rFonts w:hint="eastAsia" w:ascii="宋体" w:hAnsi="宋体" w:cs="宋体"/>
          <w:highlight w:val="none"/>
        </w:rPr>
        <w:t>7.2 按照国家比选采购法律法规和比选文件的规定要求对比选申请人的资格条件和其提供的产品价格、技术、服务等方面严格进行评判，提供科学合理、公平公正的评审意见，参与起草评审报告，并予签字确认。</w:t>
      </w:r>
    </w:p>
    <w:p w14:paraId="6C3E2DB2">
      <w:pPr>
        <w:widowControl/>
        <w:autoSpaceDE w:val="0"/>
        <w:autoSpaceDN w:val="0"/>
        <w:ind w:firstLine="480"/>
        <w:textAlignment w:val="bottom"/>
        <w:rPr>
          <w:rFonts w:ascii="宋体" w:hAnsi="宋体" w:cs="宋体"/>
          <w:highlight w:val="none"/>
        </w:rPr>
      </w:pPr>
      <w:r>
        <w:rPr>
          <w:rFonts w:hint="eastAsia" w:ascii="宋体" w:hAnsi="宋体" w:cs="宋体"/>
          <w:highlight w:val="none"/>
        </w:rPr>
        <w:t>7.3 保守秘密。不得透露比选文件咨询情况，不得泄漏比选申请人的比选申请文件及知悉的商业秘密，不得向比选申请人透露评审情况。</w:t>
      </w:r>
    </w:p>
    <w:p w14:paraId="6E641C6B">
      <w:pPr>
        <w:widowControl/>
        <w:autoSpaceDE w:val="0"/>
        <w:autoSpaceDN w:val="0"/>
        <w:ind w:firstLine="480"/>
        <w:textAlignment w:val="bottom"/>
        <w:rPr>
          <w:rFonts w:ascii="宋体" w:hAnsi="宋体" w:cs="宋体"/>
          <w:highlight w:val="none"/>
        </w:rPr>
      </w:pPr>
      <w:r>
        <w:rPr>
          <w:rFonts w:hint="eastAsia" w:ascii="宋体" w:hAnsi="宋体" w:cs="宋体"/>
          <w:highlight w:val="none"/>
        </w:rPr>
        <w:t>7.4 发现比选申请人在比选活动中有不正当竞争或恶意串通等违规行为，及时向比选评审工作的组织者报告并加以制止。</w:t>
      </w:r>
    </w:p>
    <w:p w14:paraId="74A3FBE7">
      <w:pPr>
        <w:widowControl/>
        <w:autoSpaceDE w:val="0"/>
        <w:autoSpaceDN w:val="0"/>
        <w:ind w:firstLine="480"/>
        <w:textAlignment w:val="bottom"/>
        <w:rPr>
          <w:rFonts w:ascii="宋体" w:hAnsi="宋体" w:cs="宋体"/>
          <w:highlight w:val="none"/>
        </w:rPr>
      </w:pPr>
      <w:r>
        <w:rPr>
          <w:rFonts w:hint="eastAsia" w:ascii="宋体" w:hAnsi="宋体" w:cs="宋体"/>
          <w:highlight w:val="none"/>
        </w:rPr>
        <w:t>7.5发现比选方及其工作人员在比选活动中有干预评审、发表倾向性和歧视性言论、受贿或者接受比选申请人的其他好处及其他违法违规行为，及时向本次比选监督部门或比选人上级纪检部门报告。</w:t>
      </w:r>
    </w:p>
    <w:p w14:paraId="0E3F9E19">
      <w:pPr>
        <w:widowControl/>
        <w:autoSpaceDE w:val="0"/>
        <w:autoSpaceDN w:val="0"/>
        <w:ind w:firstLine="480"/>
        <w:textAlignment w:val="bottom"/>
        <w:rPr>
          <w:rFonts w:ascii="宋体" w:hAnsi="宋体" w:cs="宋体"/>
          <w:highlight w:val="none"/>
        </w:rPr>
      </w:pPr>
      <w:r>
        <w:rPr>
          <w:rFonts w:hint="eastAsia" w:ascii="宋体" w:hAnsi="宋体" w:cs="宋体"/>
          <w:highlight w:val="none"/>
        </w:rPr>
        <w:t>7.6 解答有关方面对比选评审工</w:t>
      </w:r>
      <w:bookmarkStart w:id="394" w:name="_Toc482004201"/>
      <w:r>
        <w:rPr>
          <w:rFonts w:hint="eastAsia" w:ascii="宋体" w:hAnsi="宋体" w:cs="宋体"/>
          <w:highlight w:val="none"/>
        </w:rPr>
        <w:t>作中有关问题的询问，配合比选人答复</w:t>
      </w:r>
      <w:bookmarkEnd w:id="394"/>
      <w:bookmarkStart w:id="395" w:name="_Toc482004202"/>
      <w:r>
        <w:rPr>
          <w:rFonts w:hint="eastAsia" w:ascii="宋体" w:hAnsi="宋体" w:cs="宋体"/>
          <w:highlight w:val="none"/>
        </w:rPr>
        <w:t>比选申请人质疑，配合比选监督部门的投诉处理工作等事宜。</w:t>
      </w:r>
    </w:p>
    <w:p w14:paraId="5C8660DA">
      <w:pPr>
        <w:widowControl/>
        <w:autoSpaceDE w:val="0"/>
        <w:autoSpaceDN w:val="0"/>
        <w:ind w:firstLine="480"/>
        <w:textAlignment w:val="bottom"/>
        <w:rPr>
          <w:rFonts w:ascii="宋体" w:hAnsi="宋体" w:cs="宋体"/>
          <w:highlight w:val="none"/>
        </w:rPr>
      </w:pPr>
      <w:r>
        <w:rPr>
          <w:rFonts w:hint="eastAsia" w:ascii="宋体" w:hAnsi="宋体" w:cs="宋体"/>
          <w:highlight w:val="none"/>
        </w:rPr>
        <w:t>7.7 法律、法规和规章规定的其他义务。</w:t>
      </w:r>
    </w:p>
    <w:p w14:paraId="7A60DA4B">
      <w:pPr>
        <w:ind w:firstLine="480"/>
        <w:jc w:val="left"/>
        <w:rPr>
          <w:highlight w:val="none"/>
        </w:rPr>
      </w:pPr>
      <w:bookmarkStart w:id="396" w:name="_Toc487650587"/>
      <w:r>
        <w:rPr>
          <w:highlight w:val="none"/>
        </w:rPr>
        <w:br w:type="page"/>
      </w:r>
      <w:bookmarkEnd w:id="395"/>
      <w:bookmarkEnd w:id="396"/>
      <w:bookmarkStart w:id="397" w:name="_Toc6751"/>
      <w:bookmarkStart w:id="398" w:name="_Toc10702"/>
      <w:bookmarkStart w:id="399" w:name="_Toc1519"/>
      <w:bookmarkStart w:id="400" w:name="_Toc487650597"/>
    </w:p>
    <w:p w14:paraId="57A8FFEE">
      <w:pPr>
        <w:ind w:firstLine="480"/>
        <w:jc w:val="left"/>
        <w:rPr>
          <w:highlight w:val="none"/>
        </w:rPr>
      </w:pPr>
    </w:p>
    <w:p w14:paraId="78358CFB">
      <w:pPr>
        <w:pStyle w:val="52"/>
        <w:ind w:firstLine="480"/>
        <w:rPr>
          <w:rFonts w:hAnsi="宋体"/>
          <w:szCs w:val="24"/>
          <w:highlight w:val="none"/>
        </w:rPr>
      </w:pPr>
    </w:p>
    <w:bookmarkEnd w:id="397"/>
    <w:bookmarkEnd w:id="398"/>
    <w:bookmarkEnd w:id="399"/>
    <w:p w14:paraId="3B0659F2">
      <w:pPr>
        <w:ind w:firstLine="0" w:firstLineChars="0"/>
        <w:jc w:val="center"/>
        <w:outlineLvl w:val="0"/>
        <w:rPr>
          <w:rStyle w:val="83"/>
          <w:highlight w:val="none"/>
        </w:rPr>
      </w:pPr>
      <w:bookmarkStart w:id="401" w:name="_Toc20284"/>
      <w:bookmarkStart w:id="402" w:name="_Toc28123"/>
      <w:bookmarkStart w:id="403" w:name="_Toc30596"/>
      <w:bookmarkStart w:id="404" w:name="_Toc14354"/>
      <w:bookmarkStart w:id="405" w:name="_Toc18462"/>
      <w:bookmarkStart w:id="406" w:name="_Toc28879"/>
      <w:r>
        <w:rPr>
          <w:rStyle w:val="83"/>
          <w:rFonts w:hint="eastAsia"/>
          <w:highlight w:val="none"/>
        </w:rPr>
        <w:t xml:space="preserve">第五章 </w:t>
      </w:r>
      <w:r>
        <w:rPr>
          <w:rStyle w:val="83"/>
          <w:highlight w:val="none"/>
        </w:rPr>
        <w:t>合同条款及格式</w:t>
      </w:r>
      <w:bookmarkEnd w:id="401"/>
      <w:bookmarkEnd w:id="402"/>
      <w:bookmarkEnd w:id="403"/>
      <w:bookmarkEnd w:id="404"/>
      <w:bookmarkEnd w:id="405"/>
      <w:bookmarkEnd w:id="406"/>
    </w:p>
    <w:p w14:paraId="6CB9436A">
      <w:pPr>
        <w:ind w:firstLine="723"/>
        <w:jc w:val="center"/>
        <w:rPr>
          <w:rFonts w:eastAsia="仿宋_GB2312"/>
          <w:b/>
          <w:sz w:val="36"/>
          <w:szCs w:val="36"/>
          <w:highlight w:val="none"/>
        </w:rPr>
      </w:pPr>
    </w:p>
    <w:p w14:paraId="1F9AB63E">
      <w:pPr>
        <w:overflowPunct w:val="0"/>
        <w:adjustRightInd w:val="0"/>
        <w:snapToGrid w:val="0"/>
        <w:spacing w:line="570" w:lineRule="exact"/>
        <w:ind w:firstLine="0" w:firstLineChars="0"/>
        <w:rPr>
          <w:rFonts w:eastAsia="仿宋_GB2312"/>
          <w:kern w:val="2"/>
          <w:sz w:val="32"/>
          <w:szCs w:val="32"/>
          <w:highlight w:val="none"/>
        </w:rPr>
      </w:pPr>
    </w:p>
    <w:p w14:paraId="4DA3B708">
      <w:pPr>
        <w:overflowPunct w:val="0"/>
        <w:adjustRightInd w:val="0"/>
        <w:snapToGrid w:val="0"/>
        <w:spacing w:line="570" w:lineRule="exact"/>
        <w:ind w:firstLine="0" w:firstLineChars="0"/>
        <w:rPr>
          <w:rFonts w:eastAsia="仿宋_GB2312"/>
          <w:kern w:val="2"/>
          <w:sz w:val="32"/>
          <w:szCs w:val="32"/>
          <w:highlight w:val="none"/>
        </w:rPr>
      </w:pPr>
      <w:r>
        <w:rPr>
          <w:rFonts w:eastAsia="仿宋_GB2312"/>
          <w:kern w:val="2"/>
          <w:sz w:val="32"/>
          <w:szCs w:val="32"/>
          <w:highlight w:val="none"/>
        </w:rPr>
        <w:t xml:space="preserve"> </w:t>
      </w:r>
    </w:p>
    <w:p w14:paraId="1D77DD23">
      <w:pPr>
        <w:overflowPunct w:val="0"/>
        <w:adjustRightInd w:val="0"/>
        <w:snapToGrid w:val="0"/>
        <w:spacing w:line="570" w:lineRule="exact"/>
        <w:ind w:firstLine="0" w:firstLineChars="0"/>
        <w:rPr>
          <w:rFonts w:eastAsia="仿宋_GB2312"/>
          <w:kern w:val="2"/>
          <w:sz w:val="32"/>
          <w:szCs w:val="32"/>
          <w:highlight w:val="none"/>
        </w:rPr>
      </w:pPr>
    </w:p>
    <w:p w14:paraId="58A5BCC6">
      <w:pPr>
        <w:overflowPunct w:val="0"/>
        <w:adjustRightInd w:val="0"/>
        <w:snapToGrid w:val="0"/>
        <w:spacing w:line="570" w:lineRule="exact"/>
        <w:ind w:firstLine="0" w:firstLineChars="0"/>
        <w:rPr>
          <w:rFonts w:eastAsia="仿宋_GB2312"/>
          <w:kern w:val="2"/>
          <w:sz w:val="32"/>
          <w:szCs w:val="32"/>
          <w:highlight w:val="none"/>
        </w:rPr>
      </w:pPr>
    </w:p>
    <w:p w14:paraId="180625A8">
      <w:pPr>
        <w:overflowPunct w:val="0"/>
        <w:adjustRightInd w:val="0"/>
        <w:snapToGrid w:val="0"/>
        <w:spacing w:line="570" w:lineRule="exact"/>
        <w:ind w:firstLine="0" w:firstLineChars="0"/>
        <w:rPr>
          <w:rFonts w:eastAsia="仿宋_GB2312"/>
          <w:kern w:val="2"/>
          <w:sz w:val="32"/>
          <w:szCs w:val="32"/>
          <w:highlight w:val="none"/>
        </w:rPr>
      </w:pPr>
      <w:r>
        <w:rPr>
          <w:rFonts w:eastAsia="仿宋_GB2312"/>
          <w:kern w:val="2"/>
          <w:sz w:val="32"/>
          <w:szCs w:val="32"/>
          <w:highlight w:val="none"/>
        </w:rPr>
        <w:t xml:space="preserve"> </w:t>
      </w:r>
    </w:p>
    <w:p w14:paraId="4919AB8D">
      <w:pPr>
        <w:overflowPunct w:val="0"/>
        <w:adjustRightInd w:val="0"/>
        <w:snapToGrid w:val="0"/>
        <w:spacing w:line="570" w:lineRule="exact"/>
        <w:ind w:firstLine="0" w:firstLineChars="0"/>
        <w:jc w:val="center"/>
        <w:rPr>
          <w:rFonts w:ascii="方正小标宋简体" w:hAnsi="方正小标宋简体" w:eastAsia="方正小标宋简体" w:cs="方正小标宋简体"/>
          <w:kern w:val="2"/>
          <w:sz w:val="44"/>
          <w:szCs w:val="44"/>
          <w:highlight w:val="none"/>
        </w:rPr>
      </w:pPr>
      <w:r>
        <w:rPr>
          <w:rFonts w:hint="eastAsia" w:ascii="方正小标宋简体" w:hAnsi="方正小标宋简体" w:eastAsia="方正小标宋简体" w:cs="方正小标宋简体"/>
          <w:kern w:val="2"/>
          <w:sz w:val="44"/>
          <w:szCs w:val="44"/>
          <w:highlight w:val="none"/>
        </w:rPr>
        <w:t>采 购 合 同</w:t>
      </w:r>
    </w:p>
    <w:p w14:paraId="1ED7F079">
      <w:pPr>
        <w:overflowPunct w:val="0"/>
        <w:adjustRightInd w:val="0"/>
        <w:snapToGrid w:val="0"/>
        <w:spacing w:line="570" w:lineRule="exact"/>
        <w:ind w:firstLine="0" w:firstLineChars="0"/>
        <w:rPr>
          <w:rFonts w:eastAsia="仿宋_GB2312"/>
          <w:kern w:val="2"/>
          <w:sz w:val="32"/>
          <w:szCs w:val="32"/>
          <w:highlight w:val="none"/>
        </w:rPr>
      </w:pPr>
      <w:r>
        <w:rPr>
          <w:rFonts w:eastAsia="仿宋_GB2312"/>
          <w:kern w:val="2"/>
          <w:sz w:val="32"/>
          <w:szCs w:val="32"/>
          <w:highlight w:val="none"/>
        </w:rPr>
        <w:t xml:space="preserve"> </w:t>
      </w:r>
    </w:p>
    <w:p w14:paraId="47C1C025">
      <w:pPr>
        <w:overflowPunct w:val="0"/>
        <w:adjustRightInd w:val="0"/>
        <w:snapToGrid w:val="0"/>
        <w:spacing w:line="570" w:lineRule="exact"/>
        <w:ind w:firstLine="0" w:firstLineChars="0"/>
        <w:rPr>
          <w:rFonts w:eastAsia="仿宋_GB2312"/>
          <w:kern w:val="2"/>
          <w:sz w:val="32"/>
          <w:szCs w:val="32"/>
          <w:highlight w:val="none"/>
        </w:rPr>
      </w:pPr>
      <w:r>
        <w:rPr>
          <w:rFonts w:eastAsia="仿宋_GB2312"/>
          <w:kern w:val="2"/>
          <w:sz w:val="32"/>
          <w:szCs w:val="32"/>
          <w:highlight w:val="none"/>
        </w:rPr>
        <w:t xml:space="preserve"> </w:t>
      </w:r>
    </w:p>
    <w:p w14:paraId="6AD0BA14">
      <w:pPr>
        <w:overflowPunct w:val="0"/>
        <w:adjustRightInd w:val="0"/>
        <w:snapToGrid w:val="0"/>
        <w:spacing w:line="570" w:lineRule="exact"/>
        <w:ind w:firstLine="0" w:firstLineChars="0"/>
        <w:rPr>
          <w:rFonts w:eastAsia="仿宋_GB2312"/>
          <w:kern w:val="2"/>
          <w:sz w:val="32"/>
          <w:szCs w:val="32"/>
          <w:highlight w:val="none"/>
        </w:rPr>
      </w:pPr>
      <w:r>
        <w:rPr>
          <w:rFonts w:eastAsia="仿宋_GB2312"/>
          <w:kern w:val="2"/>
          <w:sz w:val="32"/>
          <w:szCs w:val="32"/>
          <w:highlight w:val="none"/>
        </w:rPr>
        <w:t xml:space="preserve"> </w:t>
      </w:r>
    </w:p>
    <w:p w14:paraId="3A7DA801">
      <w:pPr>
        <w:overflowPunct w:val="0"/>
        <w:adjustRightInd w:val="0"/>
        <w:snapToGrid w:val="0"/>
        <w:spacing w:line="570" w:lineRule="exact"/>
        <w:ind w:left="2386" w:leftChars="494" w:hanging="1200" w:hangingChars="500"/>
        <w:jc w:val="left"/>
        <w:rPr>
          <w:rFonts w:ascii="宋体" w:hAnsi="宋体" w:cs="宋体"/>
          <w:kern w:val="2"/>
          <w:szCs w:val="24"/>
          <w:highlight w:val="none"/>
        </w:rPr>
      </w:pPr>
      <w:r>
        <w:rPr>
          <w:rFonts w:hint="eastAsia" w:ascii="宋体" w:hAnsi="宋体" w:cs="宋体"/>
          <w:kern w:val="2"/>
          <w:szCs w:val="24"/>
          <w:highlight w:val="none"/>
        </w:rPr>
        <w:t>项目名称：</w:t>
      </w:r>
      <w:r>
        <w:rPr>
          <w:rFonts w:hint="eastAsia" w:hAnsi="宋体"/>
          <w:highlight w:val="none"/>
          <w:u w:val="single"/>
        </w:rPr>
        <w:t>都四项目办公网络加固项目</w:t>
      </w:r>
    </w:p>
    <w:p w14:paraId="5568FC65">
      <w:pPr>
        <w:overflowPunct w:val="0"/>
        <w:adjustRightInd w:val="0"/>
        <w:snapToGrid w:val="0"/>
        <w:spacing w:line="570" w:lineRule="exact"/>
        <w:ind w:firstLine="1200" w:firstLineChars="500"/>
        <w:jc w:val="left"/>
        <w:rPr>
          <w:rFonts w:ascii="宋体" w:hAnsi="宋体" w:cs="宋体"/>
          <w:kern w:val="2"/>
          <w:szCs w:val="24"/>
          <w:highlight w:val="none"/>
        </w:rPr>
      </w:pPr>
      <w:r>
        <w:rPr>
          <w:rFonts w:hint="eastAsia" w:ascii="宋体" w:hAnsi="宋体" w:cs="宋体"/>
          <w:kern w:val="2"/>
          <w:szCs w:val="24"/>
          <w:highlight w:val="none"/>
        </w:rPr>
        <w:t>委</w:t>
      </w:r>
      <w:r>
        <w:rPr>
          <w:rFonts w:ascii="宋体" w:hAnsi="宋体" w:cs="宋体"/>
          <w:kern w:val="2"/>
          <w:szCs w:val="24"/>
          <w:highlight w:val="none"/>
        </w:rPr>
        <w:t xml:space="preserve"> </w:t>
      </w:r>
      <w:r>
        <w:rPr>
          <w:rFonts w:hint="eastAsia" w:ascii="宋体" w:hAnsi="宋体" w:cs="宋体"/>
          <w:kern w:val="2"/>
          <w:szCs w:val="24"/>
          <w:highlight w:val="none"/>
        </w:rPr>
        <w:t>托</w:t>
      </w:r>
      <w:r>
        <w:rPr>
          <w:rFonts w:ascii="宋体" w:hAnsi="宋体" w:cs="宋体"/>
          <w:kern w:val="2"/>
          <w:szCs w:val="24"/>
          <w:highlight w:val="none"/>
        </w:rPr>
        <w:t xml:space="preserve"> </w:t>
      </w:r>
      <w:r>
        <w:rPr>
          <w:rFonts w:hint="eastAsia" w:ascii="宋体" w:hAnsi="宋体" w:cs="宋体"/>
          <w:kern w:val="2"/>
          <w:szCs w:val="24"/>
          <w:highlight w:val="none"/>
        </w:rPr>
        <w:t>人：</w:t>
      </w:r>
      <w:r>
        <w:rPr>
          <w:rFonts w:hAnsi="宋体"/>
          <w:highlight w:val="none"/>
          <w:u w:val="single"/>
        </w:rPr>
        <w:t>四川都金山地轨道交通有限责任公司</w:t>
      </w:r>
      <w:r>
        <w:rPr>
          <w:rFonts w:hint="eastAsia" w:ascii="宋体" w:hAnsi="宋体" w:cs="宋体"/>
          <w:kern w:val="2"/>
          <w:szCs w:val="24"/>
          <w:highlight w:val="none"/>
        </w:rPr>
        <w:t>(甲方)</w:t>
      </w:r>
    </w:p>
    <w:p w14:paraId="462BDC54">
      <w:pPr>
        <w:overflowPunct w:val="0"/>
        <w:adjustRightInd w:val="0"/>
        <w:snapToGrid w:val="0"/>
        <w:spacing w:line="570" w:lineRule="exact"/>
        <w:ind w:firstLine="1200" w:firstLineChars="500"/>
        <w:jc w:val="left"/>
        <w:rPr>
          <w:rFonts w:ascii="宋体" w:hAnsi="宋体" w:cs="宋体"/>
          <w:kern w:val="2"/>
          <w:szCs w:val="24"/>
          <w:highlight w:val="none"/>
        </w:rPr>
      </w:pPr>
      <w:r>
        <w:rPr>
          <w:rFonts w:hint="eastAsia" w:ascii="宋体" w:hAnsi="宋体" w:cs="宋体"/>
          <w:kern w:val="2"/>
          <w:szCs w:val="24"/>
          <w:highlight w:val="none"/>
        </w:rPr>
        <w:t>受</w:t>
      </w:r>
      <w:r>
        <w:rPr>
          <w:rFonts w:ascii="宋体" w:hAnsi="宋体" w:cs="宋体"/>
          <w:kern w:val="2"/>
          <w:szCs w:val="24"/>
          <w:highlight w:val="none"/>
        </w:rPr>
        <w:t xml:space="preserve"> </w:t>
      </w:r>
      <w:r>
        <w:rPr>
          <w:rFonts w:hint="eastAsia" w:ascii="宋体" w:hAnsi="宋体" w:cs="宋体"/>
          <w:kern w:val="2"/>
          <w:szCs w:val="24"/>
          <w:highlight w:val="none"/>
        </w:rPr>
        <w:t>托</w:t>
      </w:r>
      <w:r>
        <w:rPr>
          <w:rFonts w:ascii="宋体" w:hAnsi="宋体" w:cs="宋体"/>
          <w:kern w:val="2"/>
          <w:szCs w:val="24"/>
          <w:highlight w:val="none"/>
        </w:rPr>
        <w:t xml:space="preserve"> </w:t>
      </w:r>
      <w:r>
        <w:rPr>
          <w:rFonts w:hint="eastAsia" w:ascii="宋体" w:hAnsi="宋体" w:cs="宋体"/>
          <w:kern w:val="2"/>
          <w:szCs w:val="24"/>
          <w:highlight w:val="none"/>
        </w:rPr>
        <w:t>人：</w:t>
      </w:r>
      <w:r>
        <w:rPr>
          <w:rFonts w:ascii="宋体" w:hAnsi="宋体" w:cs="宋体"/>
          <w:kern w:val="2"/>
          <w:szCs w:val="24"/>
          <w:highlight w:val="none"/>
          <w:u w:val="single"/>
        </w:rPr>
        <w:t xml:space="preserve">                                </w:t>
      </w:r>
      <w:r>
        <w:rPr>
          <w:rFonts w:hint="eastAsia" w:ascii="宋体" w:hAnsi="宋体" w:cs="宋体"/>
          <w:kern w:val="2"/>
          <w:szCs w:val="24"/>
          <w:highlight w:val="none"/>
        </w:rPr>
        <w:t>(乙方)</w:t>
      </w:r>
    </w:p>
    <w:p w14:paraId="19572570">
      <w:pPr>
        <w:overflowPunct w:val="0"/>
        <w:adjustRightInd w:val="0"/>
        <w:snapToGrid w:val="0"/>
        <w:spacing w:line="570" w:lineRule="exact"/>
        <w:ind w:firstLine="1200" w:firstLineChars="500"/>
        <w:jc w:val="left"/>
        <w:rPr>
          <w:rFonts w:ascii="宋体" w:hAnsi="宋体" w:cs="宋体"/>
          <w:kern w:val="2"/>
          <w:szCs w:val="24"/>
          <w:highlight w:val="none"/>
          <w:u w:val="single"/>
        </w:rPr>
      </w:pPr>
      <w:r>
        <w:rPr>
          <w:rFonts w:hint="eastAsia" w:ascii="宋体" w:hAnsi="宋体" w:cs="宋体"/>
          <w:kern w:val="2"/>
          <w:szCs w:val="24"/>
          <w:highlight w:val="none"/>
        </w:rPr>
        <w:t>签订地点：</w:t>
      </w:r>
    </w:p>
    <w:p w14:paraId="2D06039C">
      <w:pPr>
        <w:overflowPunct w:val="0"/>
        <w:adjustRightInd w:val="0"/>
        <w:snapToGrid w:val="0"/>
        <w:spacing w:line="570" w:lineRule="exact"/>
        <w:ind w:firstLine="1200" w:firstLineChars="500"/>
        <w:jc w:val="left"/>
        <w:rPr>
          <w:rFonts w:ascii="宋体" w:hAnsi="宋体" w:cs="宋体"/>
          <w:kern w:val="2"/>
          <w:szCs w:val="24"/>
          <w:highlight w:val="none"/>
          <w:u w:val="single"/>
        </w:rPr>
      </w:pPr>
      <w:r>
        <w:rPr>
          <w:rFonts w:hint="eastAsia" w:ascii="宋体" w:hAnsi="宋体" w:cs="宋体"/>
          <w:kern w:val="2"/>
          <w:szCs w:val="24"/>
          <w:highlight w:val="none"/>
        </w:rPr>
        <w:t>签订日期：</w:t>
      </w:r>
      <w:r>
        <w:rPr>
          <w:rFonts w:hint="eastAsia" w:ascii="宋体" w:hAnsi="宋体" w:cs="宋体"/>
          <w:kern w:val="2"/>
          <w:szCs w:val="24"/>
          <w:highlight w:val="none"/>
          <w:u w:val="single"/>
        </w:rPr>
        <w:t xml:space="preserve">     年  月  日</w:t>
      </w:r>
    </w:p>
    <w:p w14:paraId="04988710">
      <w:pPr>
        <w:overflowPunct w:val="0"/>
        <w:adjustRightInd w:val="0"/>
        <w:snapToGrid w:val="0"/>
        <w:spacing w:line="570" w:lineRule="exact"/>
        <w:ind w:firstLine="0" w:firstLineChars="0"/>
        <w:rPr>
          <w:rFonts w:eastAsia="仿宋_GB2312"/>
          <w:kern w:val="2"/>
          <w:sz w:val="32"/>
          <w:szCs w:val="32"/>
          <w:highlight w:val="none"/>
        </w:rPr>
      </w:pPr>
    </w:p>
    <w:p w14:paraId="14FCB40E">
      <w:pPr>
        <w:overflowPunct w:val="0"/>
        <w:adjustRightInd w:val="0"/>
        <w:snapToGrid w:val="0"/>
        <w:spacing w:line="570" w:lineRule="exact"/>
        <w:ind w:firstLine="0" w:firstLineChars="0"/>
        <w:rPr>
          <w:rFonts w:eastAsia="仿宋_GB2312"/>
          <w:kern w:val="2"/>
          <w:sz w:val="32"/>
          <w:szCs w:val="32"/>
          <w:highlight w:val="none"/>
        </w:rPr>
      </w:pPr>
    </w:p>
    <w:p w14:paraId="2CB4606F">
      <w:pPr>
        <w:overflowPunct w:val="0"/>
        <w:adjustRightInd w:val="0"/>
        <w:snapToGrid w:val="0"/>
        <w:spacing w:line="570" w:lineRule="exact"/>
        <w:ind w:firstLine="0" w:firstLineChars="0"/>
        <w:rPr>
          <w:rFonts w:eastAsia="仿宋_GB2312"/>
          <w:kern w:val="2"/>
          <w:sz w:val="32"/>
          <w:szCs w:val="32"/>
          <w:highlight w:val="none"/>
        </w:rPr>
      </w:pPr>
    </w:p>
    <w:p w14:paraId="5E9EBCEB">
      <w:pPr>
        <w:pStyle w:val="17"/>
        <w:ind w:firstLine="640"/>
        <w:rPr>
          <w:rFonts w:eastAsia="仿宋_GB2312"/>
          <w:sz w:val="32"/>
          <w:szCs w:val="32"/>
          <w:highlight w:val="none"/>
        </w:rPr>
      </w:pPr>
    </w:p>
    <w:p w14:paraId="76D52BAA">
      <w:pPr>
        <w:ind w:firstLine="480"/>
        <w:rPr>
          <w:highlight w:val="none"/>
        </w:rPr>
      </w:pPr>
    </w:p>
    <w:p w14:paraId="13202704">
      <w:pPr>
        <w:ind w:firstLine="480"/>
        <w:rPr>
          <w:highlight w:val="none"/>
        </w:rPr>
      </w:pPr>
    </w:p>
    <w:p w14:paraId="6106A6B2">
      <w:pPr>
        <w:widowControl/>
        <w:numPr>
          <w:ilvl w:val="0"/>
          <w:numId w:val="10"/>
        </w:numPr>
        <w:ind w:firstLine="480"/>
        <w:jc w:val="center"/>
        <w:rPr>
          <w:rFonts w:ascii="宋体" w:hAnsi="宋体" w:cs="宋体"/>
          <w:b/>
          <w:bCs/>
          <w:sz w:val="31"/>
          <w:szCs w:val="31"/>
          <w:highlight w:val="none"/>
          <w:lang w:bidi="ar"/>
        </w:rPr>
      </w:pPr>
      <w:bookmarkStart w:id="407" w:name="_Toc528624783"/>
      <w:bookmarkStart w:id="408" w:name="_Toc1914"/>
      <w:bookmarkStart w:id="409" w:name="_Toc24526"/>
      <w:bookmarkStart w:id="410" w:name="_Toc29454"/>
    </w:p>
    <w:p w14:paraId="2B30E56E">
      <w:pPr>
        <w:pStyle w:val="42"/>
        <w:ind w:firstLine="640"/>
        <w:rPr>
          <w:highlight w:val="none"/>
          <w:lang w:bidi="ar"/>
        </w:rPr>
      </w:pPr>
    </w:p>
    <w:p w14:paraId="3E5AAD59">
      <w:pPr>
        <w:widowControl/>
        <w:ind w:firstLine="482"/>
        <w:rPr>
          <w:highlight w:val="none"/>
        </w:rPr>
      </w:pPr>
      <w:r>
        <w:rPr>
          <w:rFonts w:ascii="黑体" w:hAnsi="宋体" w:eastAsia="黑体" w:cs="黑体"/>
          <w:b/>
          <w:bCs/>
          <w:highlight w:val="none"/>
          <w:lang w:bidi="ar"/>
        </w:rPr>
        <w:t xml:space="preserve">1．定义和解释 </w:t>
      </w:r>
    </w:p>
    <w:p w14:paraId="5D456279">
      <w:pPr>
        <w:widowControl/>
        <w:ind w:firstLine="402"/>
        <w:rPr>
          <w:highlight w:val="none"/>
        </w:rPr>
      </w:pPr>
      <w:r>
        <w:rPr>
          <w:rFonts w:hint="eastAsia" w:ascii="宋体" w:hAnsi="宋体" w:cs="宋体"/>
          <w:b/>
          <w:bCs/>
          <w:sz w:val="20"/>
          <w:highlight w:val="none"/>
          <w:lang w:bidi="ar"/>
        </w:rPr>
        <w:t>发包人：</w:t>
      </w:r>
      <w:r>
        <w:rPr>
          <w:rFonts w:hint="eastAsia" w:ascii="宋体" w:hAnsi="宋体" w:cs="宋体"/>
          <w:kern w:val="2"/>
          <w:szCs w:val="24"/>
          <w:highlight w:val="none"/>
          <w:u w:val="single"/>
        </w:rPr>
        <w:t>四川都金山地轨道交通有限责任公司</w:t>
      </w:r>
      <w:r>
        <w:rPr>
          <w:rFonts w:hint="eastAsia" w:ascii="宋体" w:hAnsi="宋体" w:cs="宋体"/>
          <w:sz w:val="20"/>
          <w:highlight w:val="none"/>
          <w:lang w:bidi="ar"/>
        </w:rPr>
        <w:t xml:space="preserve">（以下简称发包人）。 </w:t>
      </w:r>
    </w:p>
    <w:p w14:paraId="3542416D">
      <w:pPr>
        <w:widowControl/>
        <w:ind w:firstLine="402"/>
        <w:rPr>
          <w:highlight w:val="none"/>
        </w:rPr>
      </w:pPr>
      <w:r>
        <w:rPr>
          <w:rFonts w:hint="eastAsia" w:ascii="宋体" w:hAnsi="宋体" w:cs="宋体"/>
          <w:b/>
          <w:bCs/>
          <w:sz w:val="20"/>
          <w:highlight w:val="none"/>
          <w:lang w:bidi="ar"/>
        </w:rPr>
        <w:t>承包人：</w:t>
      </w:r>
      <w:r>
        <w:rPr>
          <w:rFonts w:hint="eastAsia"/>
          <w:szCs w:val="21"/>
          <w:highlight w:val="none"/>
          <w:u w:val="single"/>
        </w:rPr>
        <w:t>通过比选确定的与发包人签订合同协议书的当事人</w:t>
      </w:r>
      <w:r>
        <w:rPr>
          <w:rFonts w:hint="eastAsia" w:ascii="宋体" w:hAnsi="宋体" w:cs="宋体"/>
          <w:sz w:val="20"/>
          <w:highlight w:val="none"/>
          <w:lang w:bidi="ar"/>
        </w:rPr>
        <w:t xml:space="preserve">（以下简称承包人）。 </w:t>
      </w:r>
    </w:p>
    <w:p w14:paraId="53B269B5">
      <w:pPr>
        <w:widowControl/>
        <w:ind w:firstLine="482"/>
        <w:rPr>
          <w:highlight w:val="none"/>
        </w:rPr>
      </w:pPr>
      <w:r>
        <w:rPr>
          <w:rFonts w:hint="eastAsia" w:ascii="黑体" w:hAnsi="宋体" w:eastAsia="黑体" w:cs="黑体"/>
          <w:b/>
          <w:bCs/>
          <w:highlight w:val="none"/>
          <w:lang w:bidi="ar"/>
        </w:rPr>
        <w:t xml:space="preserve">2．服务的范围与内容 </w:t>
      </w:r>
    </w:p>
    <w:p w14:paraId="55B2F133">
      <w:pPr>
        <w:widowControl/>
        <w:ind w:firstLine="402"/>
        <w:rPr>
          <w:highlight w:val="none"/>
        </w:rPr>
      </w:pPr>
      <w:r>
        <w:rPr>
          <w:rFonts w:hint="eastAsia" w:ascii="宋体" w:hAnsi="宋体" w:cs="宋体"/>
          <w:b/>
          <w:bCs/>
          <w:sz w:val="20"/>
          <w:highlight w:val="none"/>
          <w:lang w:bidi="ar"/>
        </w:rPr>
        <w:t xml:space="preserve">2.1 服务内容 </w:t>
      </w:r>
    </w:p>
    <w:p w14:paraId="10912432">
      <w:pPr>
        <w:widowControl/>
        <w:ind w:firstLine="400"/>
        <w:rPr>
          <w:rFonts w:ascii="宋体" w:hAnsi="宋体" w:cs="宋体"/>
          <w:sz w:val="20"/>
          <w:highlight w:val="none"/>
          <w:lang w:bidi="ar"/>
        </w:rPr>
      </w:pPr>
      <w:r>
        <w:rPr>
          <w:rFonts w:hint="eastAsia" w:ascii="宋体" w:hAnsi="宋体" w:cs="宋体"/>
          <w:sz w:val="20"/>
          <w:highlight w:val="none"/>
          <w:lang w:bidi="ar"/>
        </w:rPr>
        <w:t>针对公司门户网站等系统平台，实施完成网络安全相关技术服务工作，包括但不限于网络风险评估、安全运维服务、应急演练、网络安全技术培训、办公网加固等方面专业服务，服务方式为承包人安排人员到主要或临时项目实施地开展相关工作。</w:t>
      </w:r>
    </w:p>
    <w:p w14:paraId="320E77E8">
      <w:pPr>
        <w:widowControl/>
        <w:ind w:firstLine="402"/>
        <w:rPr>
          <w:highlight w:val="none"/>
        </w:rPr>
      </w:pPr>
      <w:r>
        <w:rPr>
          <w:rFonts w:hint="eastAsia" w:ascii="宋体" w:hAnsi="宋体" w:cs="宋体"/>
          <w:b/>
          <w:bCs/>
          <w:sz w:val="20"/>
          <w:highlight w:val="none"/>
          <w:lang w:bidi="ar"/>
        </w:rPr>
        <w:t xml:space="preserve">2.2 服务期 </w:t>
      </w:r>
    </w:p>
    <w:p w14:paraId="72EF519F">
      <w:pPr>
        <w:widowControl/>
        <w:ind w:firstLine="400"/>
        <w:rPr>
          <w:rFonts w:ascii="宋体" w:hAnsi="宋体" w:cs="宋体"/>
          <w:sz w:val="20"/>
          <w:highlight w:val="none"/>
          <w:lang w:bidi="ar"/>
        </w:rPr>
      </w:pPr>
      <w:r>
        <w:rPr>
          <w:rFonts w:hint="eastAsia" w:ascii="宋体" w:hAnsi="宋体" w:cs="宋体"/>
          <w:sz w:val="20"/>
          <w:highlight w:val="none"/>
          <w:lang w:bidi="ar"/>
        </w:rPr>
        <w:t>自合同签订之日起，30日历天内完成办公网设备的加固交付，网络安全运维服务期12月。</w:t>
      </w:r>
    </w:p>
    <w:p w14:paraId="4BEDA7DC">
      <w:pPr>
        <w:widowControl/>
        <w:ind w:firstLine="402"/>
        <w:rPr>
          <w:highlight w:val="none"/>
        </w:rPr>
      </w:pPr>
      <w:r>
        <w:rPr>
          <w:rFonts w:hint="eastAsia" w:ascii="宋体" w:hAnsi="宋体" w:cs="宋体"/>
          <w:b/>
          <w:bCs/>
          <w:sz w:val="20"/>
          <w:highlight w:val="none"/>
          <w:lang w:bidi="ar"/>
        </w:rPr>
        <w:t xml:space="preserve">2.3 服务质量 </w:t>
      </w:r>
    </w:p>
    <w:p w14:paraId="034A3EEE">
      <w:pPr>
        <w:widowControl/>
        <w:ind w:firstLine="400"/>
        <w:rPr>
          <w:highlight w:val="none"/>
        </w:rPr>
      </w:pPr>
      <w:r>
        <w:rPr>
          <w:rFonts w:hint="eastAsia" w:ascii="宋体" w:hAnsi="宋体" w:cs="宋体"/>
          <w:sz w:val="20"/>
          <w:highlight w:val="none"/>
          <w:lang w:bidi="ar"/>
        </w:rPr>
        <w:t>网络安全服务周期内，因承包人维护不到位，发包人业务网络或业务系统被攻击、被勒索等造成发包人业务中断的，承包人应无条件修复至完好状态，产生费用（包括发包人设备费用）由承包人自行承担。</w:t>
      </w:r>
    </w:p>
    <w:p w14:paraId="6DCADFA2">
      <w:pPr>
        <w:widowControl/>
        <w:ind w:firstLine="402"/>
        <w:rPr>
          <w:highlight w:val="none"/>
        </w:rPr>
      </w:pPr>
      <w:r>
        <w:rPr>
          <w:rFonts w:hint="eastAsia" w:ascii="宋体" w:hAnsi="宋体" w:cs="宋体"/>
          <w:b/>
          <w:bCs/>
          <w:sz w:val="20"/>
          <w:highlight w:val="none"/>
          <w:lang w:bidi="ar"/>
        </w:rPr>
        <w:t xml:space="preserve">2.4 项目实施地点 </w:t>
      </w:r>
    </w:p>
    <w:p w14:paraId="36F8B779">
      <w:pPr>
        <w:widowControl/>
        <w:ind w:firstLine="400"/>
        <w:rPr>
          <w:rFonts w:ascii="宋体" w:hAnsi="宋体" w:cs="宋体"/>
          <w:sz w:val="20"/>
          <w:highlight w:val="none"/>
          <w:lang w:bidi="ar"/>
        </w:rPr>
      </w:pPr>
      <w:r>
        <w:rPr>
          <w:rFonts w:hint="eastAsia" w:ascii="宋体" w:hAnsi="宋体" w:cs="宋体"/>
          <w:sz w:val="20"/>
          <w:highlight w:val="none"/>
          <w:lang w:bidi="ar"/>
        </w:rPr>
        <w:t xml:space="preserve"> </w:t>
      </w:r>
      <w:r>
        <w:rPr>
          <w:rFonts w:hint="eastAsia" w:ascii="宋体" w:hAnsi="宋体" w:cs="宋体"/>
          <w:sz w:val="20"/>
          <w:highlight w:val="none"/>
          <w:lang w:val="en-US" w:eastAsia="zh-CN" w:bidi="ar"/>
        </w:rPr>
        <w:t>发包人</w:t>
      </w:r>
      <w:r>
        <w:rPr>
          <w:rFonts w:hint="eastAsia" w:ascii="宋体" w:hAnsi="宋体" w:cs="宋体"/>
          <w:sz w:val="20"/>
          <w:highlight w:val="none"/>
          <w:lang w:bidi="ar"/>
        </w:rPr>
        <w:t>公司办公点所在地</w:t>
      </w:r>
      <w:r>
        <w:rPr>
          <w:rFonts w:hint="eastAsia" w:ascii="宋体" w:hAnsi="宋体" w:cs="宋体"/>
          <w:sz w:val="20"/>
          <w:highlight w:val="none"/>
          <w:lang w:val="en-US" w:eastAsia="zh-CN" w:bidi="ar"/>
        </w:rPr>
        <w:t>或是发包人指定地点</w:t>
      </w:r>
      <w:r>
        <w:rPr>
          <w:rFonts w:hint="eastAsia" w:ascii="宋体" w:hAnsi="宋体" w:cs="宋体"/>
          <w:sz w:val="20"/>
          <w:highlight w:val="none"/>
          <w:lang w:bidi="ar"/>
        </w:rPr>
        <w:t xml:space="preserve">。 </w:t>
      </w:r>
    </w:p>
    <w:p w14:paraId="23E91328">
      <w:pPr>
        <w:widowControl/>
        <w:ind w:firstLine="482"/>
        <w:rPr>
          <w:highlight w:val="none"/>
        </w:rPr>
      </w:pPr>
      <w:r>
        <w:rPr>
          <w:rFonts w:hint="eastAsia" w:ascii="黑体" w:hAnsi="宋体" w:eastAsia="黑体" w:cs="黑体"/>
          <w:b/>
          <w:bCs/>
          <w:highlight w:val="none"/>
          <w:lang w:bidi="ar"/>
        </w:rPr>
        <w:t xml:space="preserve">3．承包人的责任与义务 </w:t>
      </w:r>
    </w:p>
    <w:p w14:paraId="168445E4">
      <w:pPr>
        <w:widowControl/>
        <w:ind w:firstLine="400"/>
        <w:rPr>
          <w:highlight w:val="none"/>
        </w:rPr>
      </w:pPr>
      <w:r>
        <w:rPr>
          <w:rFonts w:hint="eastAsia" w:ascii="宋体" w:hAnsi="宋体" w:cs="宋体"/>
          <w:sz w:val="20"/>
          <w:highlight w:val="none"/>
          <w:lang w:bidi="ar"/>
        </w:rPr>
        <w:t xml:space="preserve">3.1 承包人需积极配合发包人开展本项目服务工作，按照发包人要求无条件的配合与网络安全运维服务的各项工作。 </w:t>
      </w:r>
    </w:p>
    <w:p w14:paraId="0CA23B39">
      <w:pPr>
        <w:widowControl/>
        <w:ind w:firstLine="400"/>
        <w:rPr>
          <w:highlight w:val="none"/>
        </w:rPr>
      </w:pPr>
      <w:r>
        <w:rPr>
          <w:rFonts w:hint="eastAsia" w:ascii="宋体" w:hAnsi="宋体" w:cs="宋体"/>
          <w:sz w:val="20"/>
          <w:highlight w:val="none"/>
          <w:lang w:bidi="ar"/>
        </w:rPr>
        <w:t xml:space="preserve">3.2 在本合同履行过程中，未经发包人同意，承包人不得单方面对外宣传、发表与本项目有关的论文、著作，不得引用本项目的全部或部分成果，不得将权利和义务转让给第三方。 </w:t>
      </w:r>
    </w:p>
    <w:p w14:paraId="70AA56C6">
      <w:pPr>
        <w:widowControl/>
        <w:ind w:firstLine="400"/>
        <w:rPr>
          <w:highlight w:val="none"/>
        </w:rPr>
      </w:pPr>
      <w:r>
        <w:rPr>
          <w:rFonts w:hint="eastAsia" w:ascii="宋体" w:hAnsi="宋体" w:cs="宋体"/>
          <w:sz w:val="20"/>
          <w:highlight w:val="none"/>
          <w:lang w:bidi="ar"/>
        </w:rPr>
        <w:t xml:space="preserve">3.3 承包人的工作进度、质量没有达到发包人要求时，应增加相关技术人员的投入以满足发包人提出的要求。发生的费用由承包人承担，发包人不再另行支付任何费用。 </w:t>
      </w:r>
    </w:p>
    <w:p w14:paraId="0C5650D4">
      <w:pPr>
        <w:widowControl/>
        <w:ind w:firstLine="400"/>
        <w:rPr>
          <w:highlight w:val="none"/>
        </w:rPr>
      </w:pPr>
      <w:r>
        <w:rPr>
          <w:rFonts w:hint="eastAsia" w:ascii="宋体" w:hAnsi="宋体" w:cs="宋体"/>
          <w:sz w:val="20"/>
          <w:highlight w:val="none"/>
          <w:lang w:bidi="ar"/>
        </w:rPr>
        <w:t xml:space="preserve">3.4 承包人应负责网络安全服务项目相关的日常事务性工作并承担相应费用，包括但不限于按照发包人要求召开与本项目有关的工作会、协调会、评审会并编制相关材料，提供与本项目相关的资料等工作。 </w:t>
      </w:r>
    </w:p>
    <w:p w14:paraId="44EFA2F1">
      <w:pPr>
        <w:widowControl/>
        <w:ind w:firstLine="400"/>
        <w:rPr>
          <w:highlight w:val="none"/>
        </w:rPr>
      </w:pPr>
      <w:r>
        <w:rPr>
          <w:rFonts w:hint="eastAsia" w:ascii="宋体" w:hAnsi="宋体" w:cs="宋体"/>
          <w:sz w:val="20"/>
          <w:highlight w:val="none"/>
          <w:lang w:bidi="ar"/>
        </w:rPr>
        <w:t xml:space="preserve">3.5 承包人应负责管理本项目的工作进展及成果，确保项目按照发包人计划、要求进行。 </w:t>
      </w:r>
    </w:p>
    <w:p w14:paraId="4819E9BC">
      <w:pPr>
        <w:widowControl/>
        <w:ind w:firstLine="400"/>
        <w:rPr>
          <w:highlight w:val="none"/>
        </w:rPr>
      </w:pPr>
      <w:r>
        <w:rPr>
          <w:rFonts w:hint="eastAsia" w:ascii="宋体" w:hAnsi="宋体" w:cs="宋体"/>
          <w:sz w:val="20"/>
          <w:highlight w:val="none"/>
          <w:lang w:bidi="ar"/>
        </w:rPr>
        <w:t xml:space="preserve">3.6 为保证本项目进展顺利，承包人应提高人员的积极性；同时承包人应制定最低工资标准，并根据工作人员的不同职责和岗位，定时足额发放工资和津贴，确保工作人员的合法权益，保证其工作质量。发包人有权随时对工作人员的工资发放进行核查，若发现工作人员工资达不到标准，委托人有权暂停服务费用支付。对此承包人在报价中应予以充分考虑。 </w:t>
      </w:r>
    </w:p>
    <w:p w14:paraId="1E54BC9B">
      <w:pPr>
        <w:widowControl/>
        <w:ind w:firstLine="400"/>
        <w:rPr>
          <w:rFonts w:ascii="宋体" w:hAnsi="宋体" w:cs="宋体"/>
          <w:sz w:val="20"/>
          <w:highlight w:val="none"/>
          <w:lang w:bidi="ar"/>
        </w:rPr>
      </w:pPr>
      <w:r>
        <w:rPr>
          <w:rFonts w:hint="eastAsia" w:ascii="宋体" w:hAnsi="宋体" w:cs="宋体"/>
          <w:sz w:val="20"/>
          <w:highlight w:val="none"/>
          <w:lang w:bidi="ar"/>
        </w:rPr>
        <w:t xml:space="preserve">3.7 承包人拟派的项目负责人应熟悉《中华人民共和国网络安全法》、ISO27001 信息安全管理体系、等级保护 2.0 标准体系和相关管理流程，以及国家、省厅、蜀道集团、蜀道新制式集团等上级管理单位网络安全相关规章制度及要求；拟派的工程师须熟悉天融信、绿盟、华为、安恒等主流安全厂商产品配置，具备风险评估、安全加固、网络安全威胁监测及分析等安全运营技能，在合同期内按照合同约定提供远程、日常运维和巡检服务，并按照约定提供相关报告。 </w:t>
      </w:r>
    </w:p>
    <w:p w14:paraId="29525FB6">
      <w:pPr>
        <w:pStyle w:val="42"/>
        <w:ind w:firstLine="400" w:firstLineChars="0"/>
        <w:rPr>
          <w:rFonts w:ascii="宋体" w:hAnsi="宋体"/>
          <w:szCs w:val="21"/>
          <w:highlight w:val="none"/>
          <w:lang w:bidi="ar"/>
        </w:rPr>
      </w:pPr>
      <w:r>
        <w:rPr>
          <w:rFonts w:hint="eastAsia" w:ascii="宋体" w:hAnsi="宋体"/>
          <w:sz w:val="20"/>
          <w:highlight w:val="none"/>
          <w:lang w:bidi="ar"/>
        </w:rPr>
        <w:t>3.8</w:t>
      </w:r>
      <w:r>
        <w:rPr>
          <w:rFonts w:hint="eastAsia" w:ascii="宋体" w:hAnsi="宋体"/>
          <w:sz w:val="20"/>
          <w:highlight w:val="none"/>
        </w:rPr>
        <w:t>若经承包人现场判定并经发包人核实为原有设备损坏且暂时无法修复，则由承包方提供替代设备抢通恢复业务，相关费用经发包人审核同意后另行支付。</w:t>
      </w:r>
    </w:p>
    <w:p w14:paraId="5B343E00">
      <w:pPr>
        <w:widowControl/>
        <w:ind w:firstLine="482"/>
        <w:rPr>
          <w:highlight w:val="none"/>
        </w:rPr>
      </w:pPr>
      <w:r>
        <w:rPr>
          <w:rFonts w:hint="eastAsia" w:ascii="黑体" w:hAnsi="宋体" w:eastAsia="黑体" w:cs="黑体"/>
          <w:b/>
          <w:bCs/>
          <w:highlight w:val="none"/>
          <w:lang w:bidi="ar"/>
        </w:rPr>
        <w:t>4．发包人的权利与义务</w:t>
      </w:r>
    </w:p>
    <w:p w14:paraId="08AB4E46">
      <w:pPr>
        <w:widowControl/>
        <w:ind w:firstLine="400"/>
        <w:rPr>
          <w:highlight w:val="none"/>
        </w:rPr>
      </w:pPr>
      <w:r>
        <w:rPr>
          <w:rFonts w:hint="eastAsia" w:ascii="宋体" w:hAnsi="宋体" w:cs="宋体"/>
          <w:sz w:val="20"/>
          <w:highlight w:val="none"/>
          <w:lang w:bidi="ar"/>
        </w:rPr>
        <w:t xml:space="preserve">4.1 发包人负责向承包人提供项目开展所需的资料； </w:t>
      </w:r>
    </w:p>
    <w:p w14:paraId="0435B337">
      <w:pPr>
        <w:widowControl/>
        <w:ind w:firstLine="400"/>
        <w:rPr>
          <w:rFonts w:hint="eastAsia" w:eastAsia="宋体"/>
          <w:highlight w:val="none"/>
          <w:lang w:eastAsia="zh-CN"/>
        </w:rPr>
      </w:pPr>
      <w:r>
        <w:rPr>
          <w:rFonts w:hint="eastAsia" w:ascii="宋体" w:hAnsi="宋体" w:cs="宋体"/>
          <w:sz w:val="20"/>
          <w:highlight w:val="none"/>
          <w:lang w:bidi="ar"/>
        </w:rPr>
        <w:t>4.2 发包人有权监督承包人管理工作及制度的执行情况</w:t>
      </w:r>
      <w:r>
        <w:rPr>
          <w:rFonts w:hint="eastAsia" w:ascii="宋体" w:hAnsi="宋体" w:cs="宋体"/>
          <w:sz w:val="20"/>
          <w:highlight w:val="none"/>
          <w:lang w:eastAsia="zh-CN" w:bidi="ar"/>
        </w:rPr>
        <w:t>；</w:t>
      </w:r>
    </w:p>
    <w:p w14:paraId="4B6FC7A2">
      <w:pPr>
        <w:widowControl/>
        <w:ind w:firstLine="400"/>
        <w:rPr>
          <w:highlight w:val="none"/>
        </w:rPr>
      </w:pPr>
      <w:r>
        <w:rPr>
          <w:rFonts w:hint="eastAsia" w:ascii="宋体" w:hAnsi="宋体" w:cs="宋体"/>
          <w:sz w:val="20"/>
          <w:highlight w:val="none"/>
          <w:lang w:bidi="ar"/>
        </w:rPr>
        <w:t>4.3 发包人有权对合同规定范围内承包人的服务行为进行监督和检查，拥有监管权</w:t>
      </w:r>
      <w:r>
        <w:rPr>
          <w:rFonts w:hint="eastAsia" w:ascii="宋体" w:hAnsi="宋体" w:cs="宋体"/>
          <w:sz w:val="20"/>
          <w:highlight w:val="none"/>
          <w:lang w:eastAsia="zh-CN" w:bidi="ar"/>
        </w:rPr>
        <w:t>，</w:t>
      </w:r>
      <w:r>
        <w:rPr>
          <w:rFonts w:hint="eastAsia" w:ascii="宋体" w:hAnsi="宋体" w:cs="宋体"/>
          <w:sz w:val="20"/>
          <w:highlight w:val="none"/>
          <w:lang w:bidi="ar"/>
        </w:rPr>
        <w:t>有权定期核对承包人提供服务所配备的人员数量</w:t>
      </w:r>
      <w:r>
        <w:rPr>
          <w:rFonts w:hint="eastAsia" w:ascii="宋体" w:hAnsi="宋体" w:cs="宋体"/>
          <w:sz w:val="20"/>
          <w:highlight w:val="none"/>
          <w:lang w:eastAsia="zh-CN" w:bidi="ar"/>
        </w:rPr>
        <w:t>，</w:t>
      </w:r>
      <w:r>
        <w:rPr>
          <w:rFonts w:hint="eastAsia" w:ascii="宋体" w:hAnsi="宋体" w:cs="宋体"/>
          <w:sz w:val="20"/>
          <w:highlight w:val="none"/>
          <w:lang w:bidi="ar"/>
        </w:rPr>
        <w:t>对发包人认为不合理的部分有权下达整改通知书，并要求承包人限期整改，发生的费用由承包人承担，发包人不再另行支付任何费用</w:t>
      </w:r>
      <w:r>
        <w:rPr>
          <w:rFonts w:hint="eastAsia" w:ascii="宋体" w:hAnsi="宋体" w:cs="宋体"/>
          <w:sz w:val="20"/>
          <w:highlight w:val="none"/>
          <w:lang w:eastAsia="zh-CN" w:bidi="ar"/>
        </w:rPr>
        <w:t>；</w:t>
      </w:r>
      <w:r>
        <w:rPr>
          <w:rFonts w:hint="eastAsia" w:ascii="宋体" w:hAnsi="宋体" w:cs="宋体"/>
          <w:sz w:val="20"/>
          <w:highlight w:val="none"/>
          <w:lang w:bidi="ar"/>
        </w:rPr>
        <w:t xml:space="preserve"> </w:t>
      </w:r>
    </w:p>
    <w:p w14:paraId="23D3F499">
      <w:pPr>
        <w:widowControl/>
        <w:ind w:firstLine="400"/>
        <w:rPr>
          <w:highlight w:val="none"/>
        </w:rPr>
      </w:pPr>
      <w:r>
        <w:rPr>
          <w:rFonts w:hint="eastAsia" w:ascii="宋体" w:hAnsi="宋体" w:cs="宋体"/>
          <w:sz w:val="20"/>
          <w:highlight w:val="none"/>
          <w:lang w:bidi="ar"/>
        </w:rPr>
        <w:t>4.4 根据本合同规定，按时向承包人支付应付服务费用</w:t>
      </w:r>
      <w:r>
        <w:rPr>
          <w:rFonts w:hint="eastAsia" w:ascii="宋体" w:hAnsi="宋体" w:cs="宋体"/>
          <w:sz w:val="20"/>
          <w:highlight w:val="none"/>
          <w:lang w:eastAsia="zh-CN" w:bidi="ar"/>
        </w:rPr>
        <w:t>；</w:t>
      </w:r>
      <w:r>
        <w:rPr>
          <w:rFonts w:hint="eastAsia" w:ascii="宋体" w:hAnsi="宋体" w:cs="宋体"/>
          <w:sz w:val="20"/>
          <w:highlight w:val="none"/>
          <w:lang w:bidi="ar"/>
        </w:rPr>
        <w:t xml:space="preserve"> </w:t>
      </w:r>
    </w:p>
    <w:p w14:paraId="7DBF55A2">
      <w:pPr>
        <w:widowControl/>
        <w:ind w:firstLine="400"/>
        <w:rPr>
          <w:highlight w:val="none"/>
        </w:rPr>
      </w:pPr>
      <w:r>
        <w:rPr>
          <w:rFonts w:hint="eastAsia" w:ascii="宋体" w:hAnsi="宋体" w:cs="宋体"/>
          <w:sz w:val="20"/>
          <w:highlight w:val="none"/>
          <w:lang w:bidi="ar"/>
        </w:rPr>
        <w:t xml:space="preserve">4.5 国家法律、法规所规定由发包人承担的其它责任。 </w:t>
      </w:r>
    </w:p>
    <w:p w14:paraId="27C35A33">
      <w:pPr>
        <w:widowControl/>
        <w:ind w:firstLine="482"/>
        <w:rPr>
          <w:highlight w:val="none"/>
        </w:rPr>
      </w:pPr>
      <w:r>
        <w:rPr>
          <w:rFonts w:hint="eastAsia" w:ascii="黑体" w:hAnsi="宋体" w:eastAsia="黑体" w:cs="黑体"/>
          <w:b/>
          <w:bCs/>
          <w:highlight w:val="none"/>
          <w:lang w:bidi="ar"/>
        </w:rPr>
        <w:t xml:space="preserve">5.本合同价款、支付条件及支付期限 </w:t>
      </w:r>
    </w:p>
    <w:p w14:paraId="497F8293">
      <w:pPr>
        <w:widowControl/>
        <w:ind w:firstLine="400"/>
        <w:rPr>
          <w:highlight w:val="none"/>
        </w:rPr>
      </w:pPr>
      <w:r>
        <w:rPr>
          <w:rFonts w:hint="eastAsia" w:ascii="宋体" w:hAnsi="宋体" w:cs="宋体"/>
          <w:sz w:val="20"/>
          <w:highlight w:val="none"/>
          <w:lang w:bidi="ar"/>
        </w:rPr>
        <w:t xml:space="preserve">5.1合同价款 </w:t>
      </w:r>
    </w:p>
    <w:p w14:paraId="2850CD98">
      <w:pPr>
        <w:widowControl/>
        <w:ind w:firstLine="400"/>
        <w:rPr>
          <w:highlight w:val="none"/>
        </w:rPr>
      </w:pPr>
      <w:r>
        <w:rPr>
          <w:rFonts w:hint="eastAsia" w:ascii="宋体" w:hAnsi="宋体" w:cs="宋体"/>
          <w:sz w:val="20"/>
          <w:highlight w:val="none"/>
          <w:lang w:bidi="ar"/>
        </w:rPr>
        <w:t>本合同</w:t>
      </w:r>
      <w:r>
        <w:rPr>
          <w:rFonts w:hint="eastAsia" w:ascii="宋体" w:hAnsi="宋体" w:cs="宋体"/>
          <w:sz w:val="20"/>
          <w:highlight w:val="none"/>
          <w:lang w:val="en-US" w:eastAsia="zh-CN" w:bidi="ar"/>
        </w:rPr>
        <w:t>含税</w:t>
      </w:r>
      <w:r>
        <w:rPr>
          <w:rFonts w:hint="eastAsia" w:ascii="宋体" w:hAnsi="宋体" w:cs="宋体"/>
          <w:sz w:val="20"/>
          <w:highlight w:val="none"/>
          <w:lang w:bidi="ar"/>
        </w:rPr>
        <w:t xml:space="preserve">共计人民币  </w:t>
      </w:r>
      <w:r>
        <w:rPr>
          <w:rFonts w:hint="eastAsia" w:ascii="宋体" w:hAnsi="宋体" w:cs="宋体"/>
          <w:sz w:val="20"/>
          <w:highlight w:val="none"/>
          <w:lang w:val="en-US" w:eastAsia="zh-CN" w:bidi="ar"/>
        </w:rPr>
        <w:t xml:space="preserve">   </w:t>
      </w:r>
      <w:r>
        <w:rPr>
          <w:rFonts w:hint="eastAsia" w:ascii="宋体" w:hAnsi="宋体" w:cs="宋体"/>
          <w:sz w:val="20"/>
          <w:highlight w:val="none"/>
          <w:lang w:bidi="ar"/>
        </w:rPr>
        <w:t xml:space="preserve"> 元（大写： </w:t>
      </w:r>
      <w:r>
        <w:rPr>
          <w:rFonts w:hint="eastAsia" w:ascii="宋体" w:hAnsi="宋体" w:cs="宋体"/>
          <w:sz w:val="20"/>
          <w:highlight w:val="none"/>
          <w:lang w:val="en-US" w:eastAsia="zh-CN" w:bidi="ar"/>
        </w:rPr>
        <w:t xml:space="preserve">     </w:t>
      </w:r>
      <w:r>
        <w:rPr>
          <w:rFonts w:hint="eastAsia" w:ascii="宋体" w:hAnsi="宋体" w:cs="宋体"/>
          <w:sz w:val="20"/>
          <w:highlight w:val="none"/>
          <w:lang w:bidi="ar"/>
        </w:rPr>
        <w:t xml:space="preserve"> 整 ），（其中不含税价         元，税费     元）。当税率调整时，不含税价不变，按承包人可以开具的增值税发票税率调整含税总价。</w:t>
      </w:r>
    </w:p>
    <w:p w14:paraId="1518BB1A">
      <w:pPr>
        <w:widowControl/>
        <w:ind w:firstLine="400"/>
        <w:rPr>
          <w:highlight w:val="none"/>
        </w:rPr>
      </w:pPr>
      <w:r>
        <w:rPr>
          <w:rFonts w:hint="eastAsia" w:ascii="宋体" w:hAnsi="宋体" w:cs="宋体"/>
          <w:sz w:val="20"/>
          <w:highlight w:val="none"/>
          <w:lang w:bidi="ar"/>
        </w:rPr>
        <w:t xml:space="preserve">5.2支付方式：按服务工作进度支付合同款。 </w:t>
      </w:r>
    </w:p>
    <w:p w14:paraId="4D7A9BD8">
      <w:pPr>
        <w:widowControl/>
        <w:ind w:firstLine="400"/>
        <w:rPr>
          <w:rFonts w:ascii="宋体" w:hAnsi="宋体" w:cs="宋体"/>
          <w:sz w:val="20"/>
          <w:highlight w:val="none"/>
          <w:lang w:bidi="ar"/>
        </w:rPr>
      </w:pPr>
      <w:r>
        <w:rPr>
          <w:rFonts w:hint="eastAsia" w:ascii="宋体" w:hAnsi="宋体" w:cs="宋体"/>
          <w:sz w:val="20"/>
          <w:highlight w:val="none"/>
          <w:lang w:bidi="ar"/>
        </w:rPr>
        <w:t>5.2.1本合同协议书签订后，乙方开具相应增值税专用发票10个工作日内，甲方支付合同价的40%款项；</w:t>
      </w:r>
    </w:p>
    <w:p w14:paraId="78C406B9">
      <w:pPr>
        <w:widowControl/>
        <w:ind w:firstLine="420" w:firstLineChars="0"/>
        <w:rPr>
          <w:rFonts w:ascii="宋体" w:hAnsi="宋体" w:cs="宋体"/>
          <w:sz w:val="20"/>
          <w:highlight w:val="none"/>
          <w:lang w:bidi="ar"/>
        </w:rPr>
      </w:pPr>
      <w:r>
        <w:rPr>
          <w:rFonts w:hint="eastAsia" w:ascii="宋体" w:hAnsi="宋体" w:cs="宋体"/>
          <w:sz w:val="20"/>
          <w:highlight w:val="none"/>
          <w:lang w:bidi="ar"/>
        </w:rPr>
        <w:t>5.2.2完成办公网加固通过验收并完成各业务系统风险评估提供风险评估报告后，乙方开具相应增值税专用发票10个工作日内，甲方支付合同价40%款项；</w:t>
      </w:r>
    </w:p>
    <w:p w14:paraId="4F34A49E">
      <w:pPr>
        <w:widowControl/>
        <w:ind w:firstLine="420" w:firstLineChars="0"/>
        <w:rPr>
          <w:rFonts w:ascii="宋体" w:hAnsi="宋体" w:cs="宋体"/>
          <w:sz w:val="20"/>
          <w:highlight w:val="none"/>
          <w:lang w:bidi="ar"/>
        </w:rPr>
      </w:pPr>
      <w:r>
        <w:rPr>
          <w:rFonts w:hint="eastAsia" w:ascii="宋体" w:hAnsi="宋体" w:cs="宋体"/>
          <w:sz w:val="20"/>
          <w:highlight w:val="none"/>
          <w:lang w:bidi="ar"/>
        </w:rPr>
        <w:t>5.2.3服务完成合同到期后，乙方开具相应增值税专用发票10个工作日内，甲方支付合同价20%款项。</w:t>
      </w:r>
    </w:p>
    <w:p w14:paraId="26BA4379">
      <w:pPr>
        <w:widowControl/>
        <w:ind w:firstLine="400"/>
        <w:rPr>
          <w:rFonts w:ascii="宋体" w:hAnsi="宋体" w:cs="宋体"/>
          <w:sz w:val="20"/>
          <w:highlight w:val="none"/>
          <w:lang w:bidi="ar"/>
        </w:rPr>
      </w:pPr>
      <w:r>
        <w:rPr>
          <w:rFonts w:hint="eastAsia" w:ascii="宋体" w:hAnsi="宋体" w:cs="宋体"/>
          <w:sz w:val="20"/>
          <w:highlight w:val="none"/>
          <w:lang w:bidi="ar"/>
        </w:rPr>
        <w:t xml:space="preserve">5.2.4 承包人按照税务机关认定的计税方法向发包人提供合规的增值税专用发票后，发包人才向承包人支付合同款。工程价款为包括增值税及各种附加费用在内的全部税费，承包人承担各种税、费，并履行纳税义务。报价清单单价和总价均为包括增值税及各种附加在内的全部税费，不做价税分离。如承包人提供的增值税发票不规范、不合法或涉嫌虚开，承包人不但要承担赔偿责任，且不能免除其开具合法增值税发票的义务。 </w:t>
      </w:r>
    </w:p>
    <w:p w14:paraId="6F75F3E7">
      <w:pPr>
        <w:widowControl/>
        <w:ind w:firstLine="482"/>
        <w:rPr>
          <w:highlight w:val="none"/>
        </w:rPr>
      </w:pPr>
      <w:r>
        <w:rPr>
          <w:rFonts w:hint="eastAsia" w:ascii="黑体" w:hAnsi="宋体" w:eastAsia="黑体" w:cs="黑体"/>
          <w:b/>
          <w:bCs/>
          <w:highlight w:val="none"/>
          <w:lang w:bidi="ar"/>
        </w:rPr>
        <w:t xml:space="preserve">6.文件及信息的保密 </w:t>
      </w:r>
    </w:p>
    <w:p w14:paraId="26343659">
      <w:pPr>
        <w:widowControl/>
        <w:ind w:firstLine="400"/>
        <w:rPr>
          <w:highlight w:val="none"/>
        </w:rPr>
      </w:pPr>
      <w:r>
        <w:rPr>
          <w:rFonts w:hint="eastAsia" w:ascii="宋体" w:hAnsi="宋体" w:cs="宋体"/>
          <w:sz w:val="20"/>
          <w:highlight w:val="none"/>
          <w:lang w:bidi="ar"/>
        </w:rPr>
        <w:t xml:space="preserve">6.1 未经对方同意，任何一方当事人不得将有关文件、技术秘密、需要保密的资料和信息泄露给他人或公开发表与引用。 </w:t>
      </w:r>
    </w:p>
    <w:p w14:paraId="6325FFDE">
      <w:pPr>
        <w:widowControl/>
        <w:ind w:firstLine="400"/>
        <w:rPr>
          <w:highlight w:val="none"/>
        </w:rPr>
      </w:pPr>
      <w:r>
        <w:rPr>
          <w:rFonts w:hint="eastAsia" w:ascii="宋体" w:hAnsi="宋体" w:cs="宋体"/>
          <w:sz w:val="20"/>
          <w:highlight w:val="none"/>
          <w:lang w:bidi="ar"/>
        </w:rPr>
        <w:t xml:space="preserve">6.2 未经合同双方事先书面同意，任何一方不得将对方提供的合同、任何规程规范和资料泄露给履行合同雇员以外的任何人。提供给履行合同雇员的文件资料也应加以保密。 </w:t>
      </w:r>
    </w:p>
    <w:p w14:paraId="290D6C4E">
      <w:pPr>
        <w:widowControl/>
        <w:ind w:firstLine="400"/>
        <w:rPr>
          <w:highlight w:val="none"/>
        </w:rPr>
      </w:pPr>
      <w:r>
        <w:rPr>
          <w:rFonts w:hint="eastAsia" w:ascii="宋体" w:hAnsi="宋体" w:cs="宋体"/>
          <w:sz w:val="20"/>
          <w:highlight w:val="none"/>
          <w:lang w:bidi="ar"/>
        </w:rPr>
        <w:t xml:space="preserve">6.3 未经合同双方事先书面同意，任何一方不得将上述规定的对方的任何文件或资料用于履行本合同目的以外的其它用途。 </w:t>
      </w:r>
    </w:p>
    <w:p w14:paraId="211844A2">
      <w:pPr>
        <w:widowControl/>
        <w:ind w:firstLine="400"/>
        <w:rPr>
          <w:highlight w:val="none"/>
        </w:rPr>
      </w:pPr>
      <w:r>
        <w:rPr>
          <w:rFonts w:hint="eastAsia" w:ascii="宋体" w:hAnsi="宋体" w:cs="宋体"/>
          <w:sz w:val="20"/>
          <w:highlight w:val="none"/>
          <w:lang w:bidi="ar"/>
        </w:rPr>
        <w:t xml:space="preserve">6.4 本合同实施过程中，双方签署保密协议（协议另行协商），承包人人员不得将发包人系统数据和技术资料泄露给第三方。并且承包人服务人员须签署个人保密承诺书。 </w:t>
      </w:r>
    </w:p>
    <w:p w14:paraId="49AA6EA6">
      <w:pPr>
        <w:widowControl/>
        <w:ind w:firstLine="400"/>
        <w:rPr>
          <w:highlight w:val="none"/>
        </w:rPr>
      </w:pPr>
      <w:r>
        <w:rPr>
          <w:rFonts w:hint="eastAsia" w:ascii="宋体" w:hAnsi="宋体" w:cs="宋体"/>
          <w:sz w:val="20"/>
          <w:highlight w:val="none"/>
          <w:lang w:bidi="ar"/>
        </w:rPr>
        <w:t xml:space="preserve">6.5 承包人必须严格遵守发包人关于数据管理的相关制度和流程，不得违规获取、存储、修改和删除数据，特别是违反制度和流程修改、删除和共享数据。 </w:t>
      </w:r>
    </w:p>
    <w:p w14:paraId="5197A690">
      <w:pPr>
        <w:widowControl/>
        <w:ind w:firstLine="482"/>
        <w:rPr>
          <w:highlight w:val="none"/>
        </w:rPr>
      </w:pPr>
      <w:r>
        <w:rPr>
          <w:rFonts w:hint="eastAsia" w:ascii="黑体" w:hAnsi="宋体" w:eastAsia="黑体" w:cs="黑体"/>
          <w:b/>
          <w:bCs/>
          <w:highlight w:val="none"/>
          <w:lang w:bidi="ar"/>
        </w:rPr>
        <w:t>7.分包</w:t>
      </w:r>
    </w:p>
    <w:p w14:paraId="38F6A325">
      <w:pPr>
        <w:widowControl/>
        <w:ind w:firstLine="400"/>
        <w:rPr>
          <w:highlight w:val="none"/>
        </w:rPr>
      </w:pPr>
      <w:r>
        <w:rPr>
          <w:rFonts w:hint="eastAsia" w:ascii="宋体" w:hAnsi="宋体" w:cs="宋体"/>
          <w:sz w:val="20"/>
          <w:highlight w:val="none"/>
          <w:lang w:bidi="ar"/>
        </w:rPr>
        <w:t xml:space="preserve">本项目严禁转包和分包。 </w:t>
      </w:r>
    </w:p>
    <w:p w14:paraId="6E79A0B1">
      <w:pPr>
        <w:widowControl/>
        <w:ind w:firstLine="482"/>
        <w:rPr>
          <w:highlight w:val="none"/>
        </w:rPr>
      </w:pPr>
      <w:r>
        <w:rPr>
          <w:rFonts w:hint="eastAsia" w:ascii="黑体" w:hAnsi="宋体" w:eastAsia="黑体" w:cs="黑体"/>
          <w:b/>
          <w:bCs/>
          <w:highlight w:val="none"/>
          <w:lang w:bidi="ar"/>
        </w:rPr>
        <w:t xml:space="preserve">8.技术指导和服务 </w:t>
      </w:r>
    </w:p>
    <w:p w14:paraId="666683C8">
      <w:pPr>
        <w:widowControl/>
        <w:ind w:firstLine="400"/>
        <w:rPr>
          <w:highlight w:val="none"/>
        </w:rPr>
      </w:pPr>
      <w:r>
        <w:rPr>
          <w:rFonts w:hint="eastAsia" w:ascii="宋体" w:hAnsi="宋体" w:cs="宋体"/>
          <w:sz w:val="20"/>
          <w:highlight w:val="none"/>
          <w:lang w:bidi="ar"/>
        </w:rPr>
        <w:t xml:space="preserve">承包人应对发包人指定人员予以免费技术指导、培训及答疑服务。 </w:t>
      </w:r>
    </w:p>
    <w:p w14:paraId="23BFF121">
      <w:pPr>
        <w:widowControl/>
        <w:ind w:firstLine="482"/>
        <w:rPr>
          <w:highlight w:val="none"/>
        </w:rPr>
      </w:pPr>
      <w:r>
        <w:rPr>
          <w:rFonts w:hint="eastAsia" w:ascii="黑体" w:hAnsi="宋体" w:eastAsia="黑体" w:cs="黑体"/>
          <w:b/>
          <w:bCs/>
          <w:highlight w:val="none"/>
          <w:lang w:bidi="ar"/>
        </w:rPr>
        <w:t xml:space="preserve">9．违约与赔偿 </w:t>
      </w:r>
    </w:p>
    <w:p w14:paraId="502FDE8F">
      <w:pPr>
        <w:widowControl/>
        <w:ind w:firstLine="402"/>
        <w:rPr>
          <w:highlight w:val="none"/>
        </w:rPr>
      </w:pPr>
      <w:r>
        <w:rPr>
          <w:rFonts w:hint="eastAsia" w:ascii="宋体" w:hAnsi="宋体" w:cs="宋体"/>
          <w:b/>
          <w:bCs/>
          <w:sz w:val="20"/>
          <w:highlight w:val="none"/>
          <w:lang w:bidi="ar"/>
        </w:rPr>
        <w:t>9.1发包人的违约</w:t>
      </w:r>
    </w:p>
    <w:p w14:paraId="5B19A350">
      <w:pPr>
        <w:widowControl/>
        <w:ind w:firstLine="400"/>
        <w:rPr>
          <w:highlight w:val="none"/>
        </w:rPr>
      </w:pPr>
      <w:r>
        <w:rPr>
          <w:rFonts w:hint="eastAsia" w:ascii="宋体" w:hAnsi="宋体" w:cs="宋体"/>
          <w:sz w:val="20"/>
          <w:highlight w:val="none"/>
          <w:lang w:bidi="ar"/>
        </w:rPr>
        <w:t xml:space="preserve">9.1.1 发包人超过合同规定的日期支付费用的，则按发包人开户银行同期活期存款利率计算逾期付款额的利息作为违约金，一并支付给承包人。 </w:t>
      </w:r>
    </w:p>
    <w:p w14:paraId="562307FE">
      <w:pPr>
        <w:widowControl/>
        <w:ind w:firstLine="402"/>
        <w:rPr>
          <w:highlight w:val="none"/>
        </w:rPr>
      </w:pPr>
      <w:r>
        <w:rPr>
          <w:rFonts w:hint="eastAsia" w:ascii="宋体" w:hAnsi="宋体" w:cs="宋体"/>
          <w:b/>
          <w:bCs/>
          <w:sz w:val="20"/>
          <w:highlight w:val="none"/>
          <w:lang w:bidi="ar"/>
        </w:rPr>
        <w:t xml:space="preserve">9.2承包人的违约 </w:t>
      </w:r>
    </w:p>
    <w:p w14:paraId="50760C95">
      <w:pPr>
        <w:widowControl/>
        <w:ind w:firstLine="400"/>
        <w:rPr>
          <w:highlight w:val="none"/>
        </w:rPr>
      </w:pPr>
      <w:r>
        <w:rPr>
          <w:rFonts w:hint="eastAsia" w:ascii="宋体" w:hAnsi="宋体" w:cs="宋体"/>
          <w:sz w:val="20"/>
          <w:highlight w:val="none"/>
          <w:lang w:bidi="ar"/>
        </w:rPr>
        <w:t xml:space="preserve">9.2.1 合同履行中发生下列情况之一的，属承包人违约： </w:t>
      </w:r>
    </w:p>
    <w:p w14:paraId="163FA4FC">
      <w:pPr>
        <w:widowControl/>
        <w:ind w:firstLine="400"/>
        <w:rPr>
          <w:highlight w:val="none"/>
        </w:rPr>
      </w:pPr>
      <w:r>
        <w:rPr>
          <w:rFonts w:hint="eastAsia" w:ascii="宋体" w:hAnsi="宋体" w:cs="宋体"/>
          <w:sz w:val="20"/>
          <w:highlight w:val="none"/>
          <w:lang w:bidi="ar"/>
        </w:rPr>
        <w:t xml:space="preserve">⑴承包人转包、违法分包或者未经发包人同意擅自分包； </w:t>
      </w:r>
    </w:p>
    <w:p w14:paraId="5D40777D">
      <w:pPr>
        <w:widowControl/>
        <w:ind w:firstLine="400"/>
        <w:rPr>
          <w:highlight w:val="none"/>
        </w:rPr>
      </w:pPr>
      <w:r>
        <w:rPr>
          <w:rFonts w:hint="eastAsia" w:ascii="宋体" w:hAnsi="宋体" w:cs="宋体"/>
          <w:sz w:val="20"/>
          <w:highlight w:val="none"/>
          <w:lang w:bidi="ar"/>
        </w:rPr>
        <w:t xml:space="preserve">⑵承包人未按合同计划完成服务，从而造成发包人损失； </w:t>
      </w:r>
    </w:p>
    <w:p w14:paraId="327C270F">
      <w:pPr>
        <w:widowControl/>
        <w:ind w:firstLine="400"/>
        <w:rPr>
          <w:highlight w:val="none"/>
        </w:rPr>
      </w:pPr>
      <w:r>
        <w:rPr>
          <w:rFonts w:hint="eastAsia" w:ascii="宋体" w:hAnsi="宋体" w:cs="宋体"/>
          <w:sz w:val="20"/>
          <w:highlight w:val="none"/>
          <w:lang w:bidi="ar"/>
        </w:rPr>
        <w:t xml:space="preserve">⑶承包人无法履行或停止履行合同； </w:t>
      </w:r>
    </w:p>
    <w:p w14:paraId="2EE07948">
      <w:pPr>
        <w:widowControl/>
        <w:ind w:firstLine="400"/>
        <w:rPr>
          <w:highlight w:val="none"/>
        </w:rPr>
      </w:pPr>
      <w:r>
        <w:rPr>
          <w:rFonts w:hint="eastAsia" w:ascii="宋体" w:hAnsi="宋体" w:cs="宋体"/>
          <w:sz w:val="20"/>
          <w:highlight w:val="none"/>
          <w:lang w:bidi="ar"/>
        </w:rPr>
        <w:t xml:space="preserve">⑷承包人违反本合同“8.文件及信息的保密”条款。 </w:t>
      </w:r>
    </w:p>
    <w:p w14:paraId="4E5B10A6">
      <w:pPr>
        <w:widowControl/>
        <w:ind w:firstLine="400"/>
        <w:rPr>
          <w:highlight w:val="none"/>
        </w:rPr>
      </w:pPr>
      <w:r>
        <w:rPr>
          <w:rFonts w:hint="eastAsia" w:ascii="宋体" w:hAnsi="宋体" w:cs="宋体"/>
          <w:sz w:val="20"/>
          <w:highlight w:val="none"/>
          <w:lang w:bidi="ar"/>
        </w:rPr>
        <w:t xml:space="preserve">⑸承包人未按本合同要求安排胜任合同工作的服务人员； </w:t>
      </w:r>
    </w:p>
    <w:p w14:paraId="5ECBFF97">
      <w:pPr>
        <w:widowControl/>
        <w:ind w:firstLine="400"/>
        <w:rPr>
          <w:highlight w:val="none"/>
        </w:rPr>
      </w:pPr>
      <w:r>
        <w:rPr>
          <w:rFonts w:hint="eastAsia" w:ascii="宋体" w:hAnsi="宋体" w:cs="宋体"/>
          <w:sz w:val="20"/>
          <w:highlight w:val="none"/>
          <w:lang w:bidi="ar"/>
        </w:rPr>
        <w:t xml:space="preserve">⑹承包人未按本合同规定提供服务； </w:t>
      </w:r>
    </w:p>
    <w:p w14:paraId="124D4C31">
      <w:pPr>
        <w:widowControl/>
        <w:ind w:firstLine="400"/>
        <w:rPr>
          <w:highlight w:val="none"/>
        </w:rPr>
      </w:pPr>
      <w:r>
        <w:rPr>
          <w:rFonts w:hint="eastAsia" w:ascii="宋体" w:hAnsi="宋体" w:cs="宋体"/>
          <w:sz w:val="20"/>
          <w:highlight w:val="none"/>
          <w:lang w:bidi="ar"/>
        </w:rPr>
        <w:t xml:space="preserve">⑺承包人未按发包人相关网络安全管理制度开展工作； </w:t>
      </w:r>
    </w:p>
    <w:p w14:paraId="53078625">
      <w:pPr>
        <w:widowControl/>
        <w:ind w:firstLine="400"/>
        <w:rPr>
          <w:highlight w:val="none"/>
        </w:rPr>
      </w:pPr>
      <w:r>
        <w:rPr>
          <w:rFonts w:hint="eastAsia" w:ascii="宋体" w:hAnsi="宋体" w:cs="宋体"/>
          <w:sz w:val="20"/>
          <w:highlight w:val="none"/>
          <w:lang w:bidi="ar"/>
        </w:rPr>
        <w:t xml:space="preserve">⑻承包人不履行合同约定的其他义务。 </w:t>
      </w:r>
    </w:p>
    <w:p w14:paraId="0C8D8C35">
      <w:pPr>
        <w:widowControl/>
        <w:ind w:firstLine="400"/>
        <w:rPr>
          <w:highlight w:val="none"/>
        </w:rPr>
      </w:pPr>
      <w:r>
        <w:rPr>
          <w:rFonts w:hint="eastAsia" w:ascii="宋体" w:hAnsi="宋体" w:cs="宋体"/>
          <w:sz w:val="20"/>
          <w:highlight w:val="none"/>
          <w:lang w:bidi="ar"/>
        </w:rPr>
        <w:t xml:space="preserve">9.2.2 承包人发生违约情况时，发包人可向承包人发出整改通知，要求其在限定期限内纠正；逾期仍不纠正的，发包人有权解除合同并向承包人发出解除合同通知。承包人应当承担由于违约所造成的费用增加、周期延误和发包人损失等。 </w:t>
      </w:r>
    </w:p>
    <w:p w14:paraId="198CB0EA">
      <w:pPr>
        <w:widowControl/>
        <w:ind w:firstLine="400"/>
        <w:rPr>
          <w:highlight w:val="none"/>
        </w:rPr>
      </w:pPr>
      <w:r>
        <w:rPr>
          <w:rFonts w:hint="eastAsia" w:ascii="宋体" w:hAnsi="宋体" w:cs="宋体"/>
          <w:sz w:val="20"/>
          <w:highlight w:val="none"/>
          <w:lang w:bidi="ar"/>
        </w:rPr>
        <w:t xml:space="preserve">9.2.3 承包人违约责任 </w:t>
      </w:r>
    </w:p>
    <w:p w14:paraId="20E255B0">
      <w:pPr>
        <w:widowControl/>
        <w:ind w:firstLine="400"/>
        <w:rPr>
          <w:highlight w:val="none"/>
        </w:rPr>
      </w:pPr>
      <w:r>
        <w:rPr>
          <w:rFonts w:hint="eastAsia" w:ascii="宋体" w:hAnsi="宋体" w:cs="宋体"/>
          <w:sz w:val="20"/>
          <w:highlight w:val="none"/>
          <w:lang w:bidi="ar"/>
        </w:rPr>
        <w:t xml:space="preserve">⑴承包人出现转包、违法分包或者未经发包人同意擅自分包的违约行为，发包人有权解除合同。  </w:t>
      </w:r>
    </w:p>
    <w:p w14:paraId="36CB5B8D">
      <w:pPr>
        <w:widowControl/>
        <w:ind w:firstLine="400"/>
        <w:rPr>
          <w:rFonts w:ascii="宋体" w:hAnsi="宋体" w:cs="宋体"/>
          <w:sz w:val="20"/>
          <w:highlight w:val="none"/>
          <w:lang w:bidi="ar"/>
        </w:rPr>
      </w:pPr>
      <w:r>
        <w:rPr>
          <w:rFonts w:hint="eastAsia" w:ascii="宋体" w:hAnsi="宋体" w:cs="宋体"/>
          <w:sz w:val="20"/>
          <w:highlight w:val="none"/>
          <w:lang w:bidi="ar"/>
        </w:rPr>
        <w:t xml:space="preserve">⑵承包人服务人员须严格按照发包人的相关网络安全管理制度开展工作，若承包人服务人员违反，发包人有权采取扣款，一次扣款合同金额5000元。 </w:t>
      </w:r>
    </w:p>
    <w:p w14:paraId="4213058F">
      <w:pPr>
        <w:widowControl/>
        <w:ind w:firstLine="400"/>
        <w:rPr>
          <w:rFonts w:ascii="宋体" w:hAnsi="宋体" w:cs="宋体"/>
          <w:sz w:val="20"/>
          <w:highlight w:val="none"/>
          <w:lang w:bidi="ar"/>
        </w:rPr>
      </w:pPr>
      <w:r>
        <w:rPr>
          <w:rFonts w:hint="eastAsia" w:ascii="宋体" w:hAnsi="宋体" w:cs="宋体"/>
          <w:sz w:val="20"/>
          <w:highlight w:val="none"/>
          <w:lang w:bidi="ar"/>
        </w:rPr>
        <w:t xml:space="preserve">⑶因发包人业务需要，承包人须赴发包人现场进行相关支持，若承包人不按要求赴现场服务，发包人有权采取扣款，一次扣款合同金额5000元。 </w:t>
      </w:r>
    </w:p>
    <w:p w14:paraId="1CEB648B">
      <w:pPr>
        <w:widowControl/>
        <w:ind w:firstLine="400"/>
        <w:rPr>
          <w:rFonts w:ascii="宋体" w:hAnsi="宋体" w:cs="宋体"/>
          <w:sz w:val="20"/>
          <w:highlight w:val="none"/>
          <w:lang w:bidi="ar"/>
        </w:rPr>
      </w:pPr>
      <w:r>
        <w:rPr>
          <w:rFonts w:hint="eastAsia" w:ascii="宋体" w:hAnsi="宋体" w:cs="宋体"/>
          <w:sz w:val="20"/>
          <w:highlight w:val="none"/>
          <w:lang w:bidi="ar"/>
        </w:rPr>
        <w:t xml:space="preserve">⑷对于违约和考核扣款条例，发包人每半年统计期间相关扣款事项，并通报承包人，具体款项经双方确认后从当年服务费中扣除，年度违约累计不超过本合同年度服务金额的 20%。 </w:t>
      </w:r>
    </w:p>
    <w:p w14:paraId="2AE905AE">
      <w:pPr>
        <w:widowControl/>
        <w:ind w:firstLine="482"/>
        <w:rPr>
          <w:highlight w:val="none"/>
        </w:rPr>
      </w:pPr>
      <w:r>
        <w:rPr>
          <w:rFonts w:hint="eastAsia" w:ascii="黑体" w:hAnsi="宋体" w:eastAsia="黑体" w:cs="黑体"/>
          <w:b/>
          <w:bCs/>
          <w:highlight w:val="none"/>
          <w:lang w:bidi="ar"/>
        </w:rPr>
        <w:t>10.不可抗力事件处理</w:t>
      </w:r>
    </w:p>
    <w:p w14:paraId="13464AAD">
      <w:pPr>
        <w:widowControl/>
        <w:ind w:firstLine="400"/>
        <w:rPr>
          <w:highlight w:val="none"/>
        </w:rPr>
      </w:pPr>
      <w:r>
        <w:rPr>
          <w:rFonts w:hint="eastAsia" w:ascii="宋体" w:hAnsi="宋体" w:cs="宋体"/>
          <w:sz w:val="20"/>
          <w:highlight w:val="none"/>
          <w:lang w:bidi="ar"/>
        </w:rPr>
        <w:t xml:space="preserve">10.1 在合同有效期内，任何一方因不可抗力事件导致不能履行合同，则合同履行期可延长，其延长期与不可抗力影响期相同。 </w:t>
      </w:r>
    </w:p>
    <w:p w14:paraId="22A3A2E6">
      <w:pPr>
        <w:widowControl/>
        <w:ind w:firstLine="400"/>
        <w:rPr>
          <w:highlight w:val="none"/>
        </w:rPr>
      </w:pPr>
      <w:r>
        <w:rPr>
          <w:rFonts w:hint="eastAsia" w:ascii="宋体" w:hAnsi="宋体" w:cs="宋体"/>
          <w:sz w:val="20"/>
          <w:highlight w:val="none"/>
          <w:lang w:bidi="ar"/>
        </w:rPr>
        <w:t xml:space="preserve">10.2 不可抗力事件发生后，应立即通知对方，并寄送有关权威机构出具的证明。 </w:t>
      </w:r>
    </w:p>
    <w:p w14:paraId="38344510">
      <w:pPr>
        <w:widowControl/>
        <w:ind w:firstLine="400"/>
        <w:rPr>
          <w:highlight w:val="none"/>
        </w:rPr>
      </w:pPr>
      <w:r>
        <w:rPr>
          <w:rFonts w:hint="eastAsia" w:ascii="宋体" w:hAnsi="宋体" w:cs="宋体"/>
          <w:sz w:val="20"/>
          <w:highlight w:val="none"/>
          <w:lang w:bidi="ar"/>
        </w:rPr>
        <w:t xml:space="preserve">10.3 不可抗力事件延续 30 天以上，双方应通过友好协商，确定是否继续履行合同。 </w:t>
      </w:r>
    </w:p>
    <w:p w14:paraId="7A00BE85">
      <w:pPr>
        <w:widowControl/>
        <w:ind w:firstLine="482"/>
        <w:rPr>
          <w:highlight w:val="none"/>
        </w:rPr>
      </w:pPr>
      <w:r>
        <w:rPr>
          <w:rFonts w:hint="eastAsia" w:ascii="黑体" w:hAnsi="宋体" w:eastAsia="黑体" w:cs="黑体"/>
          <w:b/>
          <w:bCs/>
          <w:highlight w:val="none"/>
          <w:lang w:bidi="ar"/>
        </w:rPr>
        <w:t>11.保险</w:t>
      </w:r>
    </w:p>
    <w:p w14:paraId="1637E8A0">
      <w:pPr>
        <w:widowControl/>
        <w:ind w:firstLine="400"/>
        <w:rPr>
          <w:highlight w:val="none"/>
        </w:rPr>
      </w:pPr>
      <w:r>
        <w:rPr>
          <w:rFonts w:hint="eastAsia" w:ascii="宋体" w:hAnsi="宋体" w:cs="宋体"/>
          <w:sz w:val="20"/>
          <w:highlight w:val="none"/>
          <w:lang w:bidi="ar"/>
        </w:rPr>
        <w:t xml:space="preserve">11.1 人员工伤事故的保险 </w:t>
      </w:r>
    </w:p>
    <w:p w14:paraId="789C5E07">
      <w:pPr>
        <w:widowControl/>
        <w:ind w:firstLine="400"/>
        <w:rPr>
          <w:highlight w:val="none"/>
        </w:rPr>
      </w:pPr>
      <w:r>
        <w:rPr>
          <w:rFonts w:hint="eastAsia" w:ascii="宋体" w:hAnsi="宋体" w:cs="宋体"/>
          <w:sz w:val="20"/>
          <w:highlight w:val="none"/>
          <w:lang w:bidi="ar"/>
        </w:rPr>
        <w:t xml:space="preserve">承包人须单独为本项目实施期间为履行合同所雇佣的全部人员，缴纳工伤保险费。该部分保险费用承包人必须投保，其费用不单独报价，包含在报价内。 </w:t>
      </w:r>
    </w:p>
    <w:p w14:paraId="320C2277">
      <w:pPr>
        <w:widowControl/>
        <w:ind w:firstLine="400"/>
        <w:rPr>
          <w:highlight w:val="none"/>
        </w:rPr>
      </w:pPr>
      <w:r>
        <w:rPr>
          <w:rFonts w:hint="eastAsia" w:ascii="宋体" w:hAnsi="宋体" w:cs="宋体"/>
          <w:sz w:val="20"/>
          <w:highlight w:val="none"/>
          <w:lang w:bidi="ar"/>
        </w:rPr>
        <w:t xml:space="preserve">11.2 人身意外伤害险 </w:t>
      </w:r>
    </w:p>
    <w:p w14:paraId="7A259383">
      <w:pPr>
        <w:widowControl/>
        <w:ind w:firstLine="400"/>
        <w:rPr>
          <w:highlight w:val="none"/>
        </w:rPr>
      </w:pPr>
      <w:r>
        <w:rPr>
          <w:rFonts w:hint="eastAsia" w:ascii="宋体" w:hAnsi="宋体" w:cs="宋体"/>
          <w:sz w:val="20"/>
          <w:highlight w:val="none"/>
          <w:lang w:bidi="ar"/>
        </w:rPr>
        <w:t xml:space="preserve">承包人须单独为本项目实施期间为履行合同所雇佣的全部人员，缴纳人身意外伤害险。该部分保险费用承包人必须投保，其费用不单独报价，包含在报价内。 </w:t>
      </w:r>
    </w:p>
    <w:p w14:paraId="0B5E68D8">
      <w:pPr>
        <w:widowControl/>
        <w:ind w:firstLine="400"/>
        <w:rPr>
          <w:highlight w:val="none"/>
        </w:rPr>
      </w:pPr>
      <w:r>
        <w:rPr>
          <w:rFonts w:hint="eastAsia" w:ascii="宋体" w:hAnsi="宋体" w:cs="宋体"/>
          <w:sz w:val="20"/>
          <w:highlight w:val="none"/>
          <w:lang w:bidi="ar"/>
        </w:rPr>
        <w:t xml:space="preserve">承包人人应按国家有关法律、法规、规章、规程的有关规定，为本项目服务期内的工作人员缴纳养老保险、失业保险、医疗保险、住房公积金、工伤保险等规费，该费用包含在合同价中。 </w:t>
      </w:r>
    </w:p>
    <w:p w14:paraId="110340B7">
      <w:pPr>
        <w:widowControl/>
        <w:ind w:firstLine="482"/>
        <w:rPr>
          <w:highlight w:val="none"/>
        </w:rPr>
      </w:pPr>
      <w:r>
        <w:rPr>
          <w:rFonts w:hint="eastAsia" w:ascii="黑体" w:hAnsi="宋体" w:eastAsia="黑体" w:cs="黑体"/>
          <w:b/>
          <w:bCs/>
          <w:highlight w:val="none"/>
          <w:lang w:bidi="ar"/>
        </w:rPr>
        <w:t xml:space="preserve">12.后续管理办法 </w:t>
      </w:r>
    </w:p>
    <w:p w14:paraId="242A8F28">
      <w:pPr>
        <w:widowControl/>
        <w:ind w:firstLine="400"/>
        <w:rPr>
          <w:highlight w:val="none"/>
        </w:rPr>
      </w:pPr>
      <w:r>
        <w:rPr>
          <w:rFonts w:hint="eastAsia" w:ascii="宋体" w:hAnsi="宋体" w:cs="宋体"/>
          <w:sz w:val="20"/>
          <w:highlight w:val="none"/>
          <w:lang w:bidi="ar"/>
        </w:rPr>
        <w:t xml:space="preserve">在项目实施过程中，如果有新的规程、办法、规范的颁布实施，本项目将按上级主管部门的决定采用执行。项目期间，承包人还应执行发包人针对本项目制定的质量、安全、环保、进度、计量、变更、奖励、资金管理等方面的管理办法。 </w:t>
      </w:r>
    </w:p>
    <w:p w14:paraId="1C0E40DE">
      <w:pPr>
        <w:widowControl/>
        <w:ind w:firstLine="482"/>
        <w:rPr>
          <w:highlight w:val="none"/>
        </w:rPr>
      </w:pPr>
      <w:r>
        <w:rPr>
          <w:rFonts w:hint="eastAsia" w:ascii="黑体" w:hAnsi="宋体" w:eastAsia="黑体" w:cs="黑体"/>
          <w:b/>
          <w:bCs/>
          <w:highlight w:val="none"/>
          <w:lang w:bidi="ar"/>
        </w:rPr>
        <w:t xml:space="preserve">13.争议的解决 </w:t>
      </w:r>
    </w:p>
    <w:p w14:paraId="55ED460A">
      <w:pPr>
        <w:widowControl/>
        <w:ind w:firstLine="400"/>
        <w:rPr>
          <w:highlight w:val="none"/>
        </w:rPr>
      </w:pPr>
      <w:r>
        <w:rPr>
          <w:rFonts w:hint="eastAsia" w:ascii="宋体" w:hAnsi="宋体" w:cs="宋体"/>
          <w:sz w:val="20"/>
          <w:highlight w:val="none"/>
          <w:lang w:bidi="ar"/>
        </w:rPr>
        <w:t>双方在履行本合同过程中发生争端时，应本着友好协商的原则解决问题。若经过协商仍不能达成一致时，双方约定申请诉讼方式，诉讼机构是发包人注册所在地人民法院。</w:t>
      </w:r>
      <w:bookmarkEnd w:id="407"/>
    </w:p>
    <w:p w14:paraId="4E7E0CEB">
      <w:pPr>
        <w:pStyle w:val="42"/>
        <w:ind w:firstLine="640"/>
        <w:rPr>
          <w:highlight w:val="none"/>
        </w:rPr>
      </w:pPr>
    </w:p>
    <w:p w14:paraId="17FC7EF1">
      <w:pPr>
        <w:pStyle w:val="42"/>
        <w:ind w:firstLine="400"/>
        <w:rPr>
          <w:rFonts w:ascii="宋体" w:hAnsi="宋体" w:cs="宋体"/>
          <w:kern w:val="0"/>
          <w:sz w:val="20"/>
          <w:highlight w:val="none"/>
          <w:lang w:bidi="ar"/>
        </w:rPr>
      </w:pPr>
      <w:r>
        <w:rPr>
          <w:rFonts w:hint="eastAsia" w:ascii="宋体" w:hAnsi="宋体" w:cs="宋体"/>
          <w:kern w:val="0"/>
          <w:sz w:val="20"/>
          <w:highlight w:val="none"/>
          <w:lang w:bidi="ar"/>
        </w:rPr>
        <w:t>甲方：                                              乙方：</w:t>
      </w:r>
    </w:p>
    <w:p w14:paraId="7EE36C80">
      <w:pPr>
        <w:pStyle w:val="42"/>
        <w:ind w:firstLine="400"/>
        <w:rPr>
          <w:rFonts w:ascii="宋体" w:hAnsi="宋体" w:cs="宋体"/>
          <w:kern w:val="0"/>
          <w:sz w:val="20"/>
          <w:highlight w:val="none"/>
          <w:lang w:bidi="ar"/>
        </w:rPr>
      </w:pPr>
      <w:r>
        <w:rPr>
          <w:rFonts w:hint="eastAsia" w:ascii="宋体" w:hAnsi="宋体" w:cs="宋体"/>
          <w:kern w:val="0"/>
          <w:sz w:val="20"/>
          <w:highlight w:val="none"/>
          <w:lang w:bidi="ar"/>
        </w:rPr>
        <w:t>法定代表人或授权代表：                              法定代表人或授权代表：</w:t>
      </w:r>
    </w:p>
    <w:p w14:paraId="495C0061">
      <w:pPr>
        <w:pStyle w:val="42"/>
        <w:ind w:firstLine="400"/>
        <w:rPr>
          <w:rFonts w:ascii="宋体" w:hAnsi="宋体" w:cs="宋体"/>
          <w:kern w:val="0"/>
          <w:sz w:val="20"/>
          <w:highlight w:val="none"/>
          <w:lang w:bidi="ar"/>
        </w:rPr>
      </w:pPr>
      <w:r>
        <w:rPr>
          <w:rFonts w:hint="eastAsia" w:ascii="宋体" w:hAnsi="宋体" w:cs="宋体"/>
          <w:kern w:val="0"/>
          <w:sz w:val="20"/>
          <w:highlight w:val="none"/>
          <w:lang w:bidi="ar"/>
        </w:rPr>
        <w:t>日期：                                              日期：</w:t>
      </w:r>
    </w:p>
    <w:p w14:paraId="2439C410">
      <w:pPr>
        <w:pStyle w:val="42"/>
        <w:ind w:firstLine="400"/>
        <w:rPr>
          <w:rFonts w:ascii="宋体" w:hAnsi="宋体" w:cs="宋体"/>
          <w:kern w:val="0"/>
          <w:sz w:val="20"/>
          <w:highlight w:val="none"/>
          <w:lang w:bidi="ar"/>
        </w:rPr>
      </w:pPr>
    </w:p>
    <w:p w14:paraId="2D94F987">
      <w:pPr>
        <w:pStyle w:val="42"/>
        <w:ind w:firstLine="640"/>
        <w:rPr>
          <w:highlight w:val="none"/>
        </w:rPr>
      </w:pPr>
    </w:p>
    <w:p w14:paraId="6E3EA362">
      <w:pPr>
        <w:pStyle w:val="42"/>
        <w:ind w:firstLine="640"/>
        <w:rPr>
          <w:highlight w:val="none"/>
        </w:rPr>
      </w:pPr>
    </w:p>
    <w:p w14:paraId="24C60D51">
      <w:pPr>
        <w:ind w:firstLine="0" w:firstLineChars="0"/>
        <w:rPr>
          <w:highlight w:val="none"/>
        </w:rPr>
      </w:pPr>
    </w:p>
    <w:p w14:paraId="5C1E8FDA">
      <w:pPr>
        <w:ind w:firstLine="480"/>
        <w:rPr>
          <w:highlight w:val="none"/>
        </w:rPr>
      </w:pPr>
    </w:p>
    <w:p w14:paraId="4EC2891C">
      <w:pPr>
        <w:pStyle w:val="17"/>
        <w:ind w:firstLine="0" w:firstLineChars="0"/>
        <w:rPr>
          <w:highlight w:val="none"/>
        </w:rPr>
      </w:pPr>
    </w:p>
    <w:p w14:paraId="3F3FD993">
      <w:pPr>
        <w:ind w:firstLine="480"/>
        <w:rPr>
          <w:highlight w:val="none"/>
        </w:rPr>
      </w:pPr>
    </w:p>
    <w:p w14:paraId="187BA57C">
      <w:pPr>
        <w:ind w:firstLine="480"/>
        <w:rPr>
          <w:highlight w:val="none"/>
        </w:rPr>
      </w:pPr>
      <w:bookmarkStart w:id="411" w:name="_Toc32739"/>
    </w:p>
    <w:p w14:paraId="4C6FBEA4">
      <w:pPr>
        <w:ind w:firstLine="480"/>
        <w:rPr>
          <w:highlight w:val="none"/>
        </w:rPr>
      </w:pPr>
    </w:p>
    <w:p w14:paraId="30DD302E">
      <w:pPr>
        <w:ind w:firstLine="480"/>
        <w:rPr>
          <w:highlight w:val="none"/>
        </w:rPr>
      </w:pPr>
    </w:p>
    <w:p w14:paraId="2D734969">
      <w:pPr>
        <w:ind w:firstLine="480"/>
        <w:rPr>
          <w:highlight w:val="none"/>
        </w:rPr>
      </w:pPr>
    </w:p>
    <w:p w14:paraId="51D6E697">
      <w:pPr>
        <w:ind w:firstLine="480"/>
        <w:rPr>
          <w:highlight w:val="none"/>
        </w:rPr>
      </w:pPr>
    </w:p>
    <w:p w14:paraId="779E3ED8">
      <w:pPr>
        <w:ind w:firstLine="480"/>
        <w:rPr>
          <w:highlight w:val="none"/>
        </w:rPr>
      </w:pPr>
    </w:p>
    <w:p w14:paraId="7B91E830">
      <w:pPr>
        <w:ind w:firstLine="480"/>
        <w:rPr>
          <w:highlight w:val="none"/>
        </w:rPr>
      </w:pPr>
    </w:p>
    <w:p w14:paraId="57C879CA">
      <w:pPr>
        <w:ind w:firstLine="480"/>
        <w:rPr>
          <w:highlight w:val="none"/>
        </w:rPr>
      </w:pPr>
    </w:p>
    <w:p w14:paraId="15E3FD8F">
      <w:pPr>
        <w:pStyle w:val="2"/>
        <w:rPr>
          <w:highlight w:val="none"/>
        </w:rPr>
      </w:pPr>
      <w:bookmarkStart w:id="412" w:name="_Toc11826"/>
      <w:bookmarkStart w:id="413" w:name="_Toc10983"/>
      <w:bookmarkStart w:id="414" w:name="_Toc30631"/>
      <w:bookmarkStart w:id="415" w:name="_Toc4333"/>
      <w:bookmarkStart w:id="416" w:name="_Toc27888"/>
      <w:r>
        <w:rPr>
          <w:rFonts w:hint="eastAsia"/>
          <w:highlight w:val="none"/>
        </w:rPr>
        <w:t>第六章  比选申请文件格式</w:t>
      </w:r>
      <w:bookmarkEnd w:id="400"/>
      <w:bookmarkEnd w:id="408"/>
      <w:bookmarkEnd w:id="409"/>
      <w:bookmarkEnd w:id="410"/>
      <w:bookmarkEnd w:id="411"/>
      <w:bookmarkEnd w:id="412"/>
      <w:bookmarkEnd w:id="413"/>
      <w:bookmarkEnd w:id="414"/>
      <w:bookmarkEnd w:id="415"/>
      <w:bookmarkEnd w:id="416"/>
    </w:p>
    <w:p w14:paraId="06DCBD74">
      <w:pPr>
        <w:ind w:firstLine="723"/>
        <w:jc w:val="center"/>
        <w:rPr>
          <w:b/>
          <w:sz w:val="36"/>
          <w:szCs w:val="36"/>
          <w:highlight w:val="none"/>
        </w:rPr>
      </w:pPr>
    </w:p>
    <w:p w14:paraId="2F33D60B">
      <w:pPr>
        <w:ind w:firstLine="480"/>
        <w:rPr>
          <w:highlight w:val="none"/>
        </w:rPr>
      </w:pPr>
    </w:p>
    <w:p w14:paraId="0F5A03DC">
      <w:pPr>
        <w:ind w:firstLine="723"/>
        <w:jc w:val="center"/>
        <w:rPr>
          <w:rFonts w:hAnsi="宋体"/>
          <w:b/>
          <w:sz w:val="36"/>
          <w:szCs w:val="36"/>
          <w:highlight w:val="none"/>
        </w:rPr>
      </w:pPr>
    </w:p>
    <w:p w14:paraId="6B24DEE5">
      <w:pPr>
        <w:ind w:firstLine="560"/>
        <w:jc w:val="center"/>
        <w:rPr>
          <w:rFonts w:hAnsi="宋体"/>
          <w:sz w:val="28"/>
          <w:szCs w:val="28"/>
          <w:highlight w:val="none"/>
        </w:rPr>
      </w:pPr>
      <w:r>
        <w:rPr>
          <w:rFonts w:hint="eastAsia" w:hAnsi="宋体"/>
          <w:b/>
          <w:sz w:val="36"/>
          <w:szCs w:val="36"/>
          <w:highlight w:val="none"/>
        </w:rPr>
        <w:t>都四项目办公网络加固项目</w:t>
      </w:r>
    </w:p>
    <w:p w14:paraId="43C737A8">
      <w:pPr>
        <w:ind w:firstLine="0" w:firstLineChars="0"/>
        <w:jc w:val="center"/>
        <w:rPr>
          <w:rFonts w:hAnsi="宋体"/>
          <w:b/>
          <w:sz w:val="72"/>
          <w:szCs w:val="72"/>
          <w:highlight w:val="none"/>
        </w:rPr>
      </w:pPr>
    </w:p>
    <w:p w14:paraId="781009CC">
      <w:pPr>
        <w:ind w:firstLine="0" w:firstLineChars="0"/>
        <w:jc w:val="center"/>
        <w:rPr>
          <w:rFonts w:hAnsi="宋体"/>
          <w:b/>
          <w:sz w:val="72"/>
          <w:szCs w:val="72"/>
          <w:highlight w:val="none"/>
        </w:rPr>
      </w:pPr>
      <w:r>
        <w:rPr>
          <w:rFonts w:hint="eastAsia" w:hAnsi="宋体"/>
          <w:b/>
          <w:sz w:val="72"/>
          <w:szCs w:val="72"/>
          <w:highlight w:val="none"/>
        </w:rPr>
        <w:t>比选申请文件</w:t>
      </w:r>
    </w:p>
    <w:p w14:paraId="4B82D115">
      <w:pPr>
        <w:ind w:firstLine="560"/>
        <w:jc w:val="center"/>
        <w:rPr>
          <w:rFonts w:hAnsi="宋体"/>
          <w:sz w:val="28"/>
          <w:szCs w:val="28"/>
          <w:highlight w:val="none"/>
        </w:rPr>
      </w:pPr>
    </w:p>
    <w:p w14:paraId="68057B3C">
      <w:pPr>
        <w:ind w:firstLine="0" w:firstLineChars="0"/>
        <w:rPr>
          <w:rFonts w:hAnsi="宋体"/>
          <w:sz w:val="28"/>
          <w:szCs w:val="28"/>
          <w:highlight w:val="none"/>
        </w:rPr>
      </w:pPr>
    </w:p>
    <w:p w14:paraId="2348D85D">
      <w:pPr>
        <w:ind w:firstLine="560"/>
        <w:jc w:val="center"/>
        <w:rPr>
          <w:rFonts w:hAnsi="宋体"/>
          <w:sz w:val="28"/>
          <w:szCs w:val="28"/>
          <w:highlight w:val="none"/>
        </w:rPr>
      </w:pPr>
    </w:p>
    <w:p w14:paraId="157EF87F">
      <w:pPr>
        <w:ind w:firstLine="560"/>
        <w:jc w:val="center"/>
        <w:rPr>
          <w:rFonts w:hAnsi="宋体"/>
          <w:sz w:val="28"/>
          <w:szCs w:val="28"/>
          <w:highlight w:val="none"/>
        </w:rPr>
      </w:pPr>
    </w:p>
    <w:p w14:paraId="571AA697">
      <w:pPr>
        <w:ind w:firstLine="0" w:firstLineChars="0"/>
        <w:rPr>
          <w:rFonts w:hAnsi="宋体"/>
          <w:sz w:val="28"/>
          <w:szCs w:val="28"/>
          <w:highlight w:val="none"/>
        </w:rPr>
      </w:pPr>
    </w:p>
    <w:p w14:paraId="13799869">
      <w:pPr>
        <w:ind w:firstLine="562"/>
        <w:jc w:val="center"/>
        <w:rPr>
          <w:rFonts w:hAnsi="宋体"/>
          <w:b/>
          <w:sz w:val="28"/>
          <w:szCs w:val="28"/>
          <w:highlight w:val="none"/>
        </w:rPr>
      </w:pPr>
      <w:r>
        <w:rPr>
          <w:rFonts w:hint="eastAsia" w:hAnsi="宋体"/>
          <w:b/>
          <w:sz w:val="28"/>
          <w:szCs w:val="28"/>
          <w:highlight w:val="none"/>
        </w:rPr>
        <w:t>比选申请人：</w:t>
      </w:r>
      <w:r>
        <w:rPr>
          <w:rFonts w:hint="eastAsia" w:hAnsi="宋体"/>
          <w:b/>
          <w:sz w:val="28"/>
          <w:szCs w:val="28"/>
          <w:highlight w:val="none"/>
          <w:u w:val="single"/>
        </w:rPr>
        <w:t xml:space="preserve">       全称       </w:t>
      </w:r>
      <w:r>
        <w:rPr>
          <w:rFonts w:hint="eastAsia" w:hAnsi="宋体"/>
          <w:b/>
          <w:sz w:val="28"/>
          <w:szCs w:val="28"/>
          <w:highlight w:val="none"/>
        </w:rPr>
        <w:t>（盖单位章）</w:t>
      </w:r>
    </w:p>
    <w:p w14:paraId="40FF0FC7">
      <w:pPr>
        <w:ind w:firstLine="560"/>
        <w:jc w:val="center"/>
        <w:rPr>
          <w:rFonts w:hAnsi="宋体"/>
          <w:sz w:val="28"/>
          <w:szCs w:val="28"/>
          <w:highlight w:val="none"/>
        </w:rPr>
      </w:pPr>
    </w:p>
    <w:p w14:paraId="1B3BDDF3">
      <w:pPr>
        <w:tabs>
          <w:tab w:val="center" w:pos="4479"/>
          <w:tab w:val="left" w:pos="6112"/>
        </w:tabs>
        <w:ind w:firstLine="562"/>
        <w:jc w:val="center"/>
        <w:rPr>
          <w:rFonts w:hAnsi="宋体"/>
          <w:b/>
          <w:sz w:val="28"/>
          <w:szCs w:val="28"/>
          <w:highlight w:val="none"/>
        </w:rPr>
      </w:pPr>
      <w:r>
        <w:rPr>
          <w:rFonts w:hint="eastAsia" w:hAnsi="宋体"/>
          <w:b/>
          <w:sz w:val="28"/>
          <w:szCs w:val="28"/>
          <w:highlight w:val="none"/>
        </w:rPr>
        <w:t>年</w:t>
      </w:r>
      <w:r>
        <w:rPr>
          <w:rFonts w:hint="eastAsia" w:hAnsi="宋体"/>
          <w:b/>
          <w:sz w:val="28"/>
          <w:szCs w:val="28"/>
          <w:highlight w:val="none"/>
          <w:u w:val="single"/>
        </w:rPr>
        <w:t xml:space="preserve">   </w:t>
      </w:r>
      <w:r>
        <w:rPr>
          <w:rFonts w:hint="eastAsia" w:hAnsi="宋体"/>
          <w:b/>
          <w:sz w:val="28"/>
          <w:szCs w:val="28"/>
          <w:highlight w:val="none"/>
        </w:rPr>
        <w:t xml:space="preserve">月 </w:t>
      </w:r>
      <w:r>
        <w:rPr>
          <w:rFonts w:hint="eastAsia" w:hAnsi="宋体"/>
          <w:b/>
          <w:sz w:val="28"/>
          <w:szCs w:val="28"/>
          <w:highlight w:val="none"/>
          <w:u w:val="single"/>
        </w:rPr>
        <w:t xml:space="preserve">   </w:t>
      </w:r>
      <w:r>
        <w:rPr>
          <w:rFonts w:hint="eastAsia" w:hAnsi="宋体"/>
          <w:b/>
          <w:sz w:val="28"/>
          <w:szCs w:val="28"/>
          <w:highlight w:val="none"/>
        </w:rPr>
        <w:t>日</w:t>
      </w:r>
    </w:p>
    <w:p w14:paraId="63D251B9">
      <w:pPr>
        <w:tabs>
          <w:tab w:val="center" w:pos="4479"/>
          <w:tab w:val="left" w:pos="5743"/>
          <w:tab w:val="left" w:pos="6112"/>
        </w:tabs>
        <w:ind w:firstLine="803"/>
        <w:jc w:val="center"/>
        <w:rPr>
          <w:rFonts w:hAnsi="宋体"/>
          <w:b/>
          <w:sz w:val="40"/>
          <w:szCs w:val="32"/>
          <w:highlight w:val="none"/>
        </w:rPr>
      </w:pPr>
      <w:r>
        <w:rPr>
          <w:rFonts w:hAnsi="宋体"/>
          <w:b/>
          <w:sz w:val="40"/>
          <w:szCs w:val="32"/>
          <w:highlight w:val="none"/>
        </w:rPr>
        <w:br w:type="page"/>
      </w:r>
      <w:r>
        <w:rPr>
          <w:rFonts w:hint="eastAsia" w:hAnsi="宋体"/>
          <w:b/>
          <w:sz w:val="40"/>
          <w:szCs w:val="32"/>
          <w:highlight w:val="none"/>
        </w:rPr>
        <w:t>目   录</w:t>
      </w:r>
    </w:p>
    <w:p w14:paraId="21FDEE1F">
      <w:pPr>
        <w:tabs>
          <w:tab w:val="center" w:pos="4479"/>
          <w:tab w:val="left" w:pos="5743"/>
          <w:tab w:val="left" w:pos="6112"/>
        </w:tabs>
        <w:ind w:firstLine="482"/>
        <w:jc w:val="left"/>
        <w:rPr>
          <w:rFonts w:hAnsi="宋体"/>
          <w:b/>
          <w:szCs w:val="24"/>
          <w:highlight w:val="none"/>
        </w:rPr>
      </w:pPr>
    </w:p>
    <w:p w14:paraId="0F489807">
      <w:pPr>
        <w:tabs>
          <w:tab w:val="center" w:pos="4479"/>
          <w:tab w:val="left" w:pos="5743"/>
          <w:tab w:val="left" w:pos="6112"/>
        </w:tabs>
        <w:ind w:firstLine="482"/>
        <w:jc w:val="left"/>
        <w:rPr>
          <w:rFonts w:hAnsi="宋体"/>
          <w:b/>
          <w:szCs w:val="24"/>
          <w:highlight w:val="none"/>
        </w:rPr>
      </w:pPr>
    </w:p>
    <w:p w14:paraId="26613DCB">
      <w:pPr>
        <w:tabs>
          <w:tab w:val="center" w:pos="4479"/>
          <w:tab w:val="left" w:pos="5743"/>
          <w:tab w:val="left" w:pos="6112"/>
        </w:tabs>
        <w:ind w:firstLine="482"/>
        <w:jc w:val="left"/>
        <w:rPr>
          <w:rFonts w:hAnsi="宋体"/>
          <w:b/>
          <w:szCs w:val="24"/>
          <w:highlight w:val="none"/>
        </w:rPr>
      </w:pPr>
      <w:r>
        <w:rPr>
          <w:rFonts w:hint="eastAsia" w:hAnsi="宋体"/>
          <w:b/>
          <w:szCs w:val="24"/>
          <w:highlight w:val="none"/>
        </w:rPr>
        <w:t>一、比选申请承诺函</w:t>
      </w:r>
    </w:p>
    <w:p w14:paraId="41243EB4">
      <w:pPr>
        <w:tabs>
          <w:tab w:val="center" w:pos="4479"/>
          <w:tab w:val="left" w:pos="5743"/>
          <w:tab w:val="left" w:pos="6112"/>
        </w:tabs>
        <w:ind w:firstLine="482"/>
        <w:jc w:val="left"/>
        <w:rPr>
          <w:rFonts w:hAnsi="宋体"/>
          <w:b/>
          <w:szCs w:val="24"/>
          <w:highlight w:val="none"/>
        </w:rPr>
      </w:pPr>
      <w:r>
        <w:rPr>
          <w:rFonts w:hint="eastAsia" w:hAnsi="宋体"/>
          <w:b/>
          <w:szCs w:val="24"/>
          <w:highlight w:val="none"/>
        </w:rPr>
        <w:t>二、比选申请函</w:t>
      </w:r>
    </w:p>
    <w:p w14:paraId="48DB8276">
      <w:pPr>
        <w:ind w:firstLine="482"/>
        <w:rPr>
          <w:rFonts w:hAnsi="宋体"/>
          <w:b/>
          <w:szCs w:val="24"/>
          <w:highlight w:val="none"/>
        </w:rPr>
      </w:pPr>
      <w:r>
        <w:rPr>
          <w:rFonts w:hint="eastAsia" w:hAnsi="宋体"/>
          <w:b/>
          <w:szCs w:val="24"/>
          <w:highlight w:val="none"/>
        </w:rPr>
        <w:t>三、</w:t>
      </w:r>
      <w:r>
        <w:rPr>
          <w:rFonts w:hAnsi="宋体"/>
          <w:b/>
          <w:szCs w:val="24"/>
          <w:highlight w:val="none"/>
        </w:rPr>
        <w:t>法定代表人身份证明及授权委托书</w:t>
      </w:r>
    </w:p>
    <w:p w14:paraId="04A9B9C6">
      <w:pPr>
        <w:ind w:firstLine="482"/>
        <w:rPr>
          <w:rFonts w:hAnsi="宋体"/>
          <w:b/>
          <w:szCs w:val="24"/>
          <w:highlight w:val="none"/>
        </w:rPr>
      </w:pPr>
      <w:r>
        <w:rPr>
          <w:rFonts w:hint="eastAsia" w:hAnsi="宋体"/>
          <w:b/>
          <w:szCs w:val="24"/>
          <w:highlight w:val="none"/>
        </w:rPr>
        <w:t>3</w:t>
      </w:r>
      <w:r>
        <w:rPr>
          <w:rFonts w:hAnsi="宋体"/>
          <w:b/>
          <w:szCs w:val="24"/>
          <w:highlight w:val="none"/>
        </w:rPr>
        <w:t>-1 法定代表人身份证明</w:t>
      </w:r>
    </w:p>
    <w:p w14:paraId="56C75AF3">
      <w:pPr>
        <w:ind w:firstLine="482"/>
        <w:rPr>
          <w:rFonts w:hAnsi="宋体"/>
          <w:b/>
          <w:szCs w:val="24"/>
          <w:highlight w:val="none"/>
        </w:rPr>
      </w:pPr>
      <w:r>
        <w:rPr>
          <w:rFonts w:hint="eastAsia" w:hAnsi="宋体"/>
          <w:b/>
          <w:szCs w:val="24"/>
          <w:highlight w:val="none"/>
        </w:rPr>
        <w:t>3</w:t>
      </w:r>
      <w:r>
        <w:rPr>
          <w:rFonts w:hAnsi="宋体"/>
          <w:b/>
          <w:szCs w:val="24"/>
          <w:highlight w:val="none"/>
        </w:rPr>
        <w:t>-2 授权委托书</w:t>
      </w:r>
    </w:p>
    <w:p w14:paraId="2C169C5C">
      <w:pPr>
        <w:ind w:firstLine="482"/>
        <w:rPr>
          <w:rFonts w:hAnsi="宋体"/>
          <w:b/>
          <w:szCs w:val="24"/>
          <w:highlight w:val="none"/>
        </w:rPr>
      </w:pPr>
      <w:r>
        <w:rPr>
          <w:rFonts w:hint="eastAsia" w:hAnsi="宋体"/>
          <w:b/>
          <w:szCs w:val="24"/>
          <w:highlight w:val="none"/>
        </w:rPr>
        <w:t>四、比选申请保证金</w:t>
      </w:r>
    </w:p>
    <w:p w14:paraId="0091EFD3">
      <w:pPr>
        <w:tabs>
          <w:tab w:val="center" w:pos="4479"/>
          <w:tab w:val="left" w:pos="5743"/>
          <w:tab w:val="left" w:pos="6112"/>
        </w:tabs>
        <w:ind w:firstLine="482"/>
        <w:jc w:val="left"/>
        <w:rPr>
          <w:rFonts w:hAnsi="宋体"/>
          <w:b/>
          <w:szCs w:val="24"/>
          <w:highlight w:val="none"/>
        </w:rPr>
      </w:pPr>
      <w:r>
        <w:rPr>
          <w:rFonts w:hint="eastAsia" w:hAnsi="宋体"/>
          <w:b/>
          <w:szCs w:val="24"/>
          <w:highlight w:val="none"/>
        </w:rPr>
        <w:t>五、资格证明文件</w:t>
      </w:r>
    </w:p>
    <w:p w14:paraId="15655257">
      <w:pPr>
        <w:tabs>
          <w:tab w:val="center" w:pos="4479"/>
          <w:tab w:val="left" w:pos="5743"/>
          <w:tab w:val="left" w:pos="6112"/>
        </w:tabs>
        <w:ind w:firstLine="482"/>
        <w:jc w:val="left"/>
        <w:rPr>
          <w:rFonts w:hAnsi="宋体"/>
          <w:b/>
          <w:szCs w:val="24"/>
          <w:highlight w:val="none"/>
        </w:rPr>
      </w:pPr>
      <w:r>
        <w:rPr>
          <w:rFonts w:hint="eastAsia" w:hAnsi="宋体"/>
          <w:b/>
          <w:szCs w:val="24"/>
          <w:highlight w:val="none"/>
        </w:rPr>
        <w:t>六、项目报价表</w:t>
      </w:r>
    </w:p>
    <w:p w14:paraId="1E2FAD0B">
      <w:pPr>
        <w:tabs>
          <w:tab w:val="center" w:pos="4479"/>
          <w:tab w:val="left" w:pos="5743"/>
          <w:tab w:val="left" w:pos="6112"/>
        </w:tabs>
        <w:ind w:firstLine="482"/>
        <w:jc w:val="left"/>
        <w:rPr>
          <w:rFonts w:hAnsi="宋体"/>
          <w:b/>
          <w:szCs w:val="24"/>
          <w:highlight w:val="none"/>
        </w:rPr>
      </w:pPr>
      <w:r>
        <w:rPr>
          <w:rFonts w:hint="eastAsia" w:hAnsi="宋体"/>
          <w:b/>
          <w:szCs w:val="24"/>
          <w:highlight w:val="none"/>
        </w:rPr>
        <w:t>七、比选申请人基本情况表</w:t>
      </w:r>
    </w:p>
    <w:p w14:paraId="37694F73">
      <w:pPr>
        <w:tabs>
          <w:tab w:val="center" w:pos="4479"/>
          <w:tab w:val="left" w:pos="5743"/>
          <w:tab w:val="left" w:pos="6112"/>
        </w:tabs>
        <w:ind w:firstLine="482"/>
        <w:jc w:val="left"/>
        <w:rPr>
          <w:rFonts w:hAnsi="宋体"/>
          <w:b/>
          <w:szCs w:val="24"/>
          <w:highlight w:val="none"/>
        </w:rPr>
      </w:pPr>
      <w:r>
        <w:rPr>
          <w:rFonts w:hint="eastAsia" w:hAnsi="宋体"/>
          <w:b/>
          <w:szCs w:val="24"/>
          <w:highlight w:val="none"/>
        </w:rPr>
        <w:t>八、业绩证明</w:t>
      </w:r>
    </w:p>
    <w:p w14:paraId="1F86ADB3">
      <w:pPr>
        <w:tabs>
          <w:tab w:val="center" w:pos="4479"/>
          <w:tab w:val="left" w:pos="5743"/>
          <w:tab w:val="left" w:pos="6112"/>
        </w:tabs>
        <w:ind w:firstLine="482"/>
        <w:jc w:val="left"/>
        <w:rPr>
          <w:rFonts w:hAnsi="宋体"/>
          <w:b/>
          <w:szCs w:val="24"/>
          <w:highlight w:val="none"/>
        </w:rPr>
      </w:pPr>
      <w:r>
        <w:rPr>
          <w:rFonts w:hint="eastAsia" w:hAnsi="宋体"/>
          <w:b/>
          <w:szCs w:val="24"/>
          <w:highlight w:val="none"/>
        </w:rPr>
        <w:t>九、项目人员资历证明</w:t>
      </w:r>
    </w:p>
    <w:p w14:paraId="7AB5DE2D">
      <w:pPr>
        <w:tabs>
          <w:tab w:val="center" w:pos="4479"/>
          <w:tab w:val="left" w:pos="5743"/>
          <w:tab w:val="left" w:pos="6112"/>
        </w:tabs>
        <w:ind w:firstLine="482"/>
        <w:jc w:val="left"/>
        <w:rPr>
          <w:rFonts w:hAnsi="宋体"/>
          <w:b/>
          <w:bCs/>
          <w:sz w:val="28"/>
          <w:szCs w:val="28"/>
          <w:highlight w:val="none"/>
        </w:rPr>
      </w:pPr>
      <w:r>
        <w:rPr>
          <w:rFonts w:hint="eastAsia" w:hAnsi="宋体"/>
          <w:b/>
          <w:szCs w:val="24"/>
          <w:highlight w:val="none"/>
        </w:rPr>
        <w:t>十、</w:t>
      </w:r>
      <w:r>
        <w:rPr>
          <w:rFonts w:hint="eastAsia" w:hAnsi="宋体"/>
          <w:b/>
          <w:bCs/>
          <w:szCs w:val="24"/>
          <w:highlight w:val="none"/>
        </w:rPr>
        <w:t>项目实施方案</w:t>
      </w:r>
    </w:p>
    <w:p w14:paraId="0A86FF6B">
      <w:pPr>
        <w:tabs>
          <w:tab w:val="center" w:pos="4479"/>
          <w:tab w:val="left" w:pos="5743"/>
          <w:tab w:val="left" w:pos="6112"/>
        </w:tabs>
        <w:ind w:firstLine="562"/>
        <w:jc w:val="left"/>
        <w:rPr>
          <w:rFonts w:hAnsi="宋体"/>
          <w:b/>
          <w:bCs/>
          <w:sz w:val="28"/>
          <w:szCs w:val="28"/>
          <w:highlight w:val="none"/>
        </w:rPr>
      </w:pPr>
    </w:p>
    <w:p w14:paraId="12846AAD">
      <w:pPr>
        <w:tabs>
          <w:tab w:val="center" w:pos="4479"/>
          <w:tab w:val="left" w:pos="5743"/>
          <w:tab w:val="left" w:pos="6112"/>
        </w:tabs>
        <w:ind w:firstLine="562"/>
        <w:jc w:val="left"/>
        <w:rPr>
          <w:rFonts w:hAnsi="宋体"/>
          <w:b/>
          <w:bCs/>
          <w:sz w:val="28"/>
          <w:szCs w:val="28"/>
          <w:highlight w:val="none"/>
        </w:rPr>
      </w:pPr>
    </w:p>
    <w:p w14:paraId="599652AF">
      <w:pPr>
        <w:tabs>
          <w:tab w:val="center" w:pos="4479"/>
          <w:tab w:val="left" w:pos="5743"/>
          <w:tab w:val="left" w:pos="6112"/>
        </w:tabs>
        <w:ind w:firstLine="562"/>
        <w:jc w:val="left"/>
        <w:rPr>
          <w:rFonts w:hAnsi="宋体"/>
          <w:b/>
          <w:bCs/>
          <w:sz w:val="28"/>
          <w:szCs w:val="28"/>
          <w:highlight w:val="none"/>
        </w:rPr>
      </w:pPr>
    </w:p>
    <w:p w14:paraId="6EC2F3DE">
      <w:pPr>
        <w:tabs>
          <w:tab w:val="center" w:pos="4479"/>
          <w:tab w:val="left" w:pos="5743"/>
          <w:tab w:val="left" w:pos="6112"/>
        </w:tabs>
        <w:ind w:firstLine="562"/>
        <w:jc w:val="left"/>
        <w:rPr>
          <w:rFonts w:hAnsi="宋体"/>
          <w:b/>
          <w:bCs/>
          <w:sz w:val="28"/>
          <w:szCs w:val="28"/>
          <w:highlight w:val="none"/>
        </w:rPr>
      </w:pPr>
    </w:p>
    <w:p w14:paraId="20EC328D">
      <w:pPr>
        <w:tabs>
          <w:tab w:val="center" w:pos="4479"/>
          <w:tab w:val="left" w:pos="5743"/>
          <w:tab w:val="left" w:pos="6112"/>
        </w:tabs>
        <w:ind w:firstLine="562"/>
        <w:jc w:val="left"/>
        <w:rPr>
          <w:rFonts w:hAnsi="宋体"/>
          <w:b/>
          <w:bCs/>
          <w:sz w:val="28"/>
          <w:szCs w:val="28"/>
          <w:highlight w:val="none"/>
        </w:rPr>
      </w:pPr>
    </w:p>
    <w:p w14:paraId="177EE91A">
      <w:pPr>
        <w:tabs>
          <w:tab w:val="center" w:pos="4479"/>
          <w:tab w:val="left" w:pos="5743"/>
          <w:tab w:val="left" w:pos="6112"/>
        </w:tabs>
        <w:ind w:firstLine="562"/>
        <w:jc w:val="left"/>
        <w:rPr>
          <w:rFonts w:hAnsi="宋体"/>
          <w:b/>
          <w:bCs/>
          <w:sz w:val="28"/>
          <w:szCs w:val="28"/>
          <w:highlight w:val="none"/>
        </w:rPr>
      </w:pPr>
    </w:p>
    <w:p w14:paraId="13509116">
      <w:pPr>
        <w:tabs>
          <w:tab w:val="center" w:pos="4479"/>
          <w:tab w:val="left" w:pos="5743"/>
          <w:tab w:val="left" w:pos="6112"/>
        </w:tabs>
        <w:ind w:firstLine="562"/>
        <w:jc w:val="left"/>
        <w:rPr>
          <w:rFonts w:hAnsi="宋体"/>
          <w:b/>
          <w:bCs/>
          <w:sz w:val="28"/>
          <w:szCs w:val="28"/>
          <w:highlight w:val="none"/>
        </w:rPr>
      </w:pPr>
    </w:p>
    <w:p w14:paraId="286D0B49">
      <w:pPr>
        <w:tabs>
          <w:tab w:val="center" w:pos="4479"/>
          <w:tab w:val="left" w:pos="5743"/>
          <w:tab w:val="left" w:pos="6112"/>
        </w:tabs>
        <w:ind w:firstLine="562"/>
        <w:jc w:val="left"/>
        <w:rPr>
          <w:rFonts w:hAnsi="宋体"/>
          <w:b/>
          <w:bCs/>
          <w:sz w:val="28"/>
          <w:szCs w:val="28"/>
          <w:highlight w:val="none"/>
        </w:rPr>
      </w:pPr>
    </w:p>
    <w:p w14:paraId="081EC956">
      <w:pPr>
        <w:pStyle w:val="3"/>
        <w:rPr>
          <w:highlight w:val="none"/>
        </w:rPr>
      </w:pPr>
      <w:r>
        <w:rPr>
          <w:rFonts w:hAnsi="宋体"/>
          <w:highlight w:val="none"/>
        </w:rPr>
        <w:br w:type="page"/>
      </w:r>
      <w:bookmarkStart w:id="417" w:name="_Toc12154"/>
      <w:bookmarkStart w:id="418" w:name="_Toc8836"/>
      <w:bookmarkStart w:id="419" w:name="_Toc19903"/>
      <w:bookmarkStart w:id="420" w:name="_Toc487650598"/>
      <w:bookmarkStart w:id="421" w:name="_Toc21911"/>
      <w:bookmarkStart w:id="422" w:name="_Toc26302"/>
      <w:bookmarkStart w:id="423" w:name="_Toc6576"/>
      <w:bookmarkStart w:id="424" w:name="_Toc13963"/>
      <w:bookmarkStart w:id="425" w:name="_Toc30606"/>
      <w:bookmarkStart w:id="426" w:name="_Toc2471"/>
      <w:r>
        <w:rPr>
          <w:rFonts w:hint="eastAsia" w:hAnsi="宋体"/>
          <w:highlight w:val="none"/>
        </w:rPr>
        <w:t>一、</w:t>
      </w:r>
      <w:r>
        <w:rPr>
          <w:rFonts w:hint="eastAsia"/>
          <w:highlight w:val="none"/>
        </w:rPr>
        <w:t>比选申请承诺函</w:t>
      </w:r>
      <w:bookmarkEnd w:id="417"/>
      <w:bookmarkEnd w:id="418"/>
      <w:bookmarkEnd w:id="419"/>
      <w:bookmarkEnd w:id="420"/>
      <w:bookmarkEnd w:id="421"/>
      <w:bookmarkEnd w:id="422"/>
      <w:bookmarkEnd w:id="423"/>
      <w:bookmarkEnd w:id="424"/>
      <w:bookmarkEnd w:id="425"/>
      <w:bookmarkEnd w:id="426"/>
    </w:p>
    <w:p w14:paraId="621BEEB4">
      <w:pPr>
        <w:ind w:firstLine="199" w:firstLineChars="55"/>
        <w:jc w:val="center"/>
        <w:rPr>
          <w:b/>
          <w:sz w:val="36"/>
          <w:highlight w:val="none"/>
        </w:rPr>
      </w:pPr>
      <w:r>
        <w:rPr>
          <w:rFonts w:hint="eastAsia"/>
          <w:b/>
          <w:sz w:val="36"/>
          <w:highlight w:val="none"/>
        </w:rPr>
        <w:t>比选申请承诺函</w:t>
      </w:r>
    </w:p>
    <w:p w14:paraId="3AE3F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hAnsi="宋体" w:cs="Arial"/>
          <w:szCs w:val="24"/>
          <w:highlight w:val="none"/>
        </w:rPr>
      </w:pPr>
      <w:r>
        <w:rPr>
          <w:rFonts w:hint="eastAsia" w:ascii="宋体" w:hAnsi="宋体" w:cs="宋体"/>
          <w:kern w:val="2"/>
          <w:szCs w:val="24"/>
          <w:highlight w:val="none"/>
        </w:rPr>
        <w:t>四川都金山地轨道交通有限责任公司</w:t>
      </w:r>
      <w:r>
        <w:rPr>
          <w:rFonts w:hint="eastAsia" w:hAnsi="宋体" w:cs="Arial"/>
          <w:szCs w:val="24"/>
          <w:highlight w:val="none"/>
        </w:rPr>
        <w:t>：</w:t>
      </w:r>
    </w:p>
    <w:p w14:paraId="70FC33A8">
      <w:pPr>
        <w:spacing w:line="600" w:lineRule="exact"/>
        <w:ind w:firstLine="480"/>
        <w:jc w:val="left"/>
        <w:rPr>
          <w:rFonts w:hAnsi="宋体" w:cs="新宋体"/>
          <w:szCs w:val="24"/>
          <w:highlight w:val="none"/>
          <w:u w:val="single"/>
        </w:rPr>
      </w:pPr>
      <w:r>
        <w:rPr>
          <w:rFonts w:hint="eastAsia" w:hAnsi="宋体" w:cs="新宋体"/>
          <w:szCs w:val="24"/>
          <w:highlight w:val="none"/>
        </w:rPr>
        <w:t>一、我单位确认选择</w:t>
      </w:r>
      <w:r>
        <w:rPr>
          <w:rFonts w:hint="eastAsia" w:hAnsi="宋体"/>
          <w:bCs/>
          <w:highlight w:val="none"/>
        </w:rPr>
        <w:t>四川都金山地轨道交通有限责任公司</w:t>
      </w:r>
      <w:r>
        <w:rPr>
          <w:rFonts w:hint="eastAsia" w:hAnsi="宋体" w:cs="新宋体"/>
          <w:szCs w:val="24"/>
          <w:highlight w:val="none"/>
        </w:rPr>
        <w:t>关于</w:t>
      </w:r>
      <w:r>
        <w:rPr>
          <w:rFonts w:hint="eastAsia" w:hAnsi="宋体"/>
          <w:bCs/>
          <w:highlight w:val="none"/>
          <w:u w:val="single"/>
        </w:rPr>
        <w:t>都四项目办公网络加固项目</w:t>
      </w:r>
      <w:r>
        <w:rPr>
          <w:rFonts w:hint="eastAsia" w:hAnsi="宋体" w:cs="新宋体"/>
          <w:szCs w:val="24"/>
          <w:highlight w:val="none"/>
        </w:rPr>
        <w:t>比选申请，并理解比选单位不接受未承诺的比选申请。</w:t>
      </w:r>
    </w:p>
    <w:p w14:paraId="5043C454">
      <w:pPr>
        <w:ind w:firstLine="480"/>
        <w:jc w:val="left"/>
        <w:rPr>
          <w:rFonts w:hAnsi="宋体" w:cs="新宋体"/>
          <w:szCs w:val="24"/>
          <w:highlight w:val="none"/>
        </w:rPr>
      </w:pPr>
      <w:r>
        <w:rPr>
          <w:rFonts w:hint="eastAsia" w:hAnsi="宋体" w:cs="新宋体"/>
          <w:szCs w:val="24"/>
          <w:highlight w:val="none"/>
        </w:rPr>
        <w:t>二、我单位承诺按照比选文件相关规定，在送交比选申请文件前由比选申请单位基本帐户向比选单位一次性足额提交比选申请保证金。</w:t>
      </w:r>
    </w:p>
    <w:p w14:paraId="2C07A97E">
      <w:pPr>
        <w:ind w:firstLine="480"/>
        <w:jc w:val="left"/>
        <w:rPr>
          <w:rFonts w:hAnsi="宋体" w:cs="新宋体"/>
          <w:szCs w:val="24"/>
          <w:highlight w:val="none"/>
        </w:rPr>
      </w:pPr>
      <w:r>
        <w:rPr>
          <w:rFonts w:hint="eastAsia" w:hAnsi="宋体" w:cs="新宋体"/>
          <w:szCs w:val="24"/>
          <w:highlight w:val="none"/>
        </w:rPr>
        <w:t>三、我单位承诺按照比选文件规定编制比选申请文件，并在比选申请截止时间前将我单位的比选申请文件送交至指定地点。</w:t>
      </w:r>
    </w:p>
    <w:p w14:paraId="662048B2">
      <w:pPr>
        <w:ind w:firstLine="480"/>
        <w:jc w:val="left"/>
        <w:rPr>
          <w:rFonts w:hAnsi="宋体" w:cs="新宋体"/>
          <w:szCs w:val="24"/>
          <w:highlight w:val="none"/>
        </w:rPr>
      </w:pPr>
      <w:r>
        <w:rPr>
          <w:rFonts w:hint="eastAsia" w:hAnsi="宋体" w:cs="新宋体"/>
          <w:szCs w:val="24"/>
          <w:highlight w:val="none"/>
        </w:rPr>
        <w:t>四、我单位承诺声明，我单位所送交的比选申请文件（包括有关资料、澄清等）真实可信，不存在虚假（包括隐瞒）。</w:t>
      </w:r>
    </w:p>
    <w:p w14:paraId="152CE24E">
      <w:pPr>
        <w:ind w:firstLine="480"/>
        <w:jc w:val="left"/>
        <w:rPr>
          <w:rFonts w:hAnsi="宋体" w:cs="新宋体"/>
          <w:szCs w:val="24"/>
          <w:highlight w:val="none"/>
        </w:rPr>
      </w:pPr>
      <w:r>
        <w:rPr>
          <w:rFonts w:hint="eastAsia" w:hAnsi="宋体" w:cs="新宋体"/>
          <w:szCs w:val="24"/>
          <w:highlight w:val="none"/>
        </w:rPr>
        <w:t>五、我单位承诺，若我单位在比选申请期间未遵从比选申请承诺函的承诺内容，将按相关规定接受处理。</w:t>
      </w:r>
    </w:p>
    <w:p w14:paraId="606C4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hAnsi="宋体" w:cs="新宋体"/>
          <w:szCs w:val="24"/>
          <w:highlight w:val="none"/>
        </w:rPr>
      </w:pPr>
    </w:p>
    <w:p w14:paraId="234A5D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jc w:val="center"/>
        <w:rPr>
          <w:rFonts w:hAnsi="宋体" w:cs="新宋体"/>
          <w:b/>
          <w:szCs w:val="24"/>
          <w:highlight w:val="none"/>
        </w:rPr>
      </w:pPr>
    </w:p>
    <w:p w14:paraId="3BD46D39">
      <w:pPr>
        <w:ind w:firstLine="482"/>
        <w:jc w:val="left"/>
        <w:rPr>
          <w:rFonts w:hAnsi="宋体" w:cs="新宋体"/>
          <w:b/>
          <w:szCs w:val="24"/>
          <w:highlight w:val="none"/>
        </w:rPr>
      </w:pPr>
      <w:r>
        <w:rPr>
          <w:rFonts w:hint="eastAsia" w:hAnsi="宋体" w:cs="新宋体"/>
          <w:b/>
          <w:szCs w:val="24"/>
          <w:highlight w:val="none"/>
        </w:rPr>
        <w:t xml:space="preserve">比选申请单位（全称，盖单位章）：            </w:t>
      </w:r>
    </w:p>
    <w:p w14:paraId="6FD4BA1B">
      <w:pPr>
        <w:ind w:firstLine="482"/>
        <w:jc w:val="left"/>
        <w:rPr>
          <w:rFonts w:hAnsi="宋体" w:cs="新宋体"/>
          <w:b/>
          <w:szCs w:val="24"/>
          <w:highlight w:val="none"/>
        </w:rPr>
      </w:pPr>
      <w:r>
        <w:rPr>
          <w:rFonts w:hint="eastAsia" w:hAnsi="宋体" w:cs="新宋体"/>
          <w:b/>
          <w:szCs w:val="24"/>
          <w:highlight w:val="none"/>
        </w:rPr>
        <w:t>单位地址：                            　 邮政编码：</w:t>
      </w:r>
    </w:p>
    <w:p w14:paraId="4D6BC003">
      <w:pPr>
        <w:ind w:firstLine="482"/>
        <w:jc w:val="left"/>
        <w:rPr>
          <w:rFonts w:hAnsi="宋体" w:cs="新宋体"/>
          <w:b/>
          <w:szCs w:val="24"/>
          <w:highlight w:val="none"/>
        </w:rPr>
      </w:pPr>
      <w:r>
        <w:rPr>
          <w:rFonts w:hint="eastAsia" w:hAnsi="宋体" w:cs="新宋体"/>
          <w:b/>
          <w:szCs w:val="24"/>
          <w:highlight w:val="none"/>
        </w:rPr>
        <w:t>法定代表人签字（）：                     传真：</w:t>
      </w:r>
    </w:p>
    <w:p w14:paraId="1CDE3D6E">
      <w:pPr>
        <w:ind w:firstLine="482"/>
        <w:jc w:val="left"/>
        <w:rPr>
          <w:rFonts w:hAnsi="宋体" w:cs="新宋体"/>
          <w:b/>
          <w:szCs w:val="24"/>
          <w:highlight w:val="none"/>
        </w:rPr>
      </w:pPr>
      <w:r>
        <w:rPr>
          <w:rFonts w:hint="eastAsia" w:hAnsi="宋体" w:cs="新宋体"/>
          <w:b/>
          <w:szCs w:val="24"/>
          <w:highlight w:val="none"/>
        </w:rPr>
        <w:t>联</w:t>
      </w:r>
      <w:bookmarkStart w:id="427" w:name="_Toc217446082"/>
      <w:r>
        <w:rPr>
          <w:rFonts w:hint="eastAsia" w:hAnsi="宋体" w:cs="新宋体"/>
          <w:b/>
          <w:szCs w:val="24"/>
          <w:highlight w:val="none"/>
        </w:rPr>
        <w:t xml:space="preserve">系人：  </w:t>
      </w:r>
      <w:bookmarkEnd w:id="427"/>
      <w:r>
        <w:rPr>
          <w:rFonts w:hint="eastAsia" w:hAnsi="宋体" w:cs="新宋体"/>
          <w:b/>
          <w:szCs w:val="24"/>
          <w:highlight w:val="none"/>
        </w:rPr>
        <w:t xml:space="preserve">                               联系电话：</w:t>
      </w:r>
    </w:p>
    <w:p w14:paraId="3EE5DBE1">
      <w:pPr>
        <w:ind w:firstLine="480"/>
        <w:jc w:val="left"/>
        <w:rPr>
          <w:rFonts w:hAnsi="宋体" w:cs="新宋体"/>
          <w:szCs w:val="24"/>
          <w:highlight w:val="none"/>
        </w:rPr>
      </w:pPr>
    </w:p>
    <w:p w14:paraId="347D235D">
      <w:pPr>
        <w:ind w:firstLine="480"/>
        <w:jc w:val="left"/>
        <w:rPr>
          <w:rFonts w:hAnsi="宋体" w:cs="新宋体"/>
          <w:szCs w:val="24"/>
          <w:highlight w:val="none"/>
        </w:rPr>
      </w:pPr>
    </w:p>
    <w:p w14:paraId="3DB7659C">
      <w:pPr>
        <w:ind w:firstLine="480"/>
        <w:jc w:val="right"/>
        <w:rPr>
          <w:rFonts w:hAnsi="宋体" w:cs="仿宋_GB2312"/>
          <w:b/>
          <w:szCs w:val="24"/>
          <w:highlight w:val="none"/>
        </w:rPr>
      </w:pPr>
      <w:r>
        <w:rPr>
          <w:rFonts w:hint="eastAsia" w:hAnsi="宋体" w:cs="新宋体"/>
          <w:szCs w:val="24"/>
          <w:highlight w:val="none"/>
        </w:rPr>
        <w:t xml:space="preserve">            　</w:t>
      </w:r>
      <w:r>
        <w:rPr>
          <w:rFonts w:hint="eastAsia" w:hAnsi="宋体" w:cs="仿宋_GB2312"/>
          <w:szCs w:val="24"/>
          <w:highlight w:val="none"/>
        </w:rPr>
        <w:t xml:space="preserve"> </w:t>
      </w:r>
      <w:r>
        <w:rPr>
          <w:rFonts w:hint="eastAsia" w:hAnsi="宋体" w:cs="仿宋_GB2312"/>
          <w:b/>
          <w:szCs w:val="24"/>
          <w:highlight w:val="none"/>
        </w:rPr>
        <w:t>年  月  日</w:t>
      </w:r>
    </w:p>
    <w:p w14:paraId="5A199351">
      <w:pPr>
        <w:tabs>
          <w:tab w:val="center" w:pos="4479"/>
          <w:tab w:val="left" w:pos="5743"/>
          <w:tab w:val="left" w:pos="6112"/>
        </w:tabs>
        <w:ind w:firstLine="482"/>
        <w:jc w:val="left"/>
        <w:rPr>
          <w:rFonts w:hAnsi="宋体"/>
          <w:b/>
          <w:bCs/>
          <w:szCs w:val="24"/>
          <w:highlight w:val="none"/>
        </w:rPr>
      </w:pPr>
    </w:p>
    <w:p w14:paraId="18A479DF">
      <w:pPr>
        <w:tabs>
          <w:tab w:val="center" w:pos="4479"/>
          <w:tab w:val="left" w:pos="5743"/>
          <w:tab w:val="left" w:pos="6112"/>
        </w:tabs>
        <w:ind w:firstLine="562"/>
        <w:jc w:val="left"/>
        <w:rPr>
          <w:rFonts w:hAnsi="宋体"/>
          <w:b/>
          <w:bCs/>
          <w:sz w:val="28"/>
          <w:szCs w:val="28"/>
          <w:highlight w:val="none"/>
        </w:rPr>
      </w:pPr>
    </w:p>
    <w:p w14:paraId="4FAD584D">
      <w:pPr>
        <w:tabs>
          <w:tab w:val="center" w:pos="4479"/>
          <w:tab w:val="left" w:pos="5743"/>
          <w:tab w:val="left" w:pos="6112"/>
        </w:tabs>
        <w:ind w:firstLine="562"/>
        <w:jc w:val="left"/>
        <w:rPr>
          <w:rFonts w:hAnsi="宋体"/>
          <w:b/>
          <w:bCs/>
          <w:sz w:val="28"/>
          <w:szCs w:val="28"/>
          <w:highlight w:val="none"/>
        </w:rPr>
      </w:pPr>
    </w:p>
    <w:p w14:paraId="7AC875F4">
      <w:pPr>
        <w:tabs>
          <w:tab w:val="center" w:pos="4479"/>
          <w:tab w:val="left" w:pos="5743"/>
          <w:tab w:val="left" w:pos="6112"/>
        </w:tabs>
        <w:ind w:firstLine="0" w:firstLineChars="0"/>
        <w:jc w:val="left"/>
        <w:rPr>
          <w:rFonts w:hAnsi="宋体"/>
          <w:b/>
          <w:bCs/>
          <w:sz w:val="28"/>
          <w:szCs w:val="28"/>
          <w:highlight w:val="none"/>
        </w:rPr>
      </w:pPr>
    </w:p>
    <w:p w14:paraId="3C1D2CBC">
      <w:pPr>
        <w:pStyle w:val="3"/>
        <w:spacing w:line="400" w:lineRule="exact"/>
        <w:rPr>
          <w:highlight w:val="none"/>
        </w:rPr>
      </w:pPr>
      <w:bookmarkStart w:id="428" w:name="_Toc22585"/>
      <w:bookmarkStart w:id="429" w:name="_Toc4291"/>
      <w:bookmarkStart w:id="430" w:name="_Toc487650599"/>
      <w:bookmarkStart w:id="431" w:name="_Toc14520"/>
      <w:bookmarkStart w:id="432" w:name="_Toc12567"/>
      <w:bookmarkStart w:id="433" w:name="_Toc23742"/>
      <w:bookmarkStart w:id="434" w:name="_Toc1160"/>
      <w:bookmarkStart w:id="435" w:name="_Toc31451"/>
      <w:bookmarkStart w:id="436" w:name="_Toc18281"/>
      <w:bookmarkStart w:id="437" w:name="_Toc23614"/>
      <w:r>
        <w:rPr>
          <w:rFonts w:hint="eastAsia"/>
          <w:highlight w:val="none"/>
        </w:rPr>
        <w:t>二、比选申请函</w:t>
      </w:r>
      <w:bookmarkEnd w:id="428"/>
      <w:bookmarkEnd w:id="429"/>
      <w:bookmarkEnd w:id="430"/>
      <w:bookmarkEnd w:id="431"/>
      <w:bookmarkEnd w:id="432"/>
      <w:bookmarkEnd w:id="433"/>
      <w:bookmarkEnd w:id="434"/>
      <w:bookmarkEnd w:id="435"/>
      <w:bookmarkEnd w:id="436"/>
      <w:bookmarkEnd w:id="437"/>
    </w:p>
    <w:p w14:paraId="71FA43D7">
      <w:pPr>
        <w:spacing w:line="400" w:lineRule="exact"/>
        <w:ind w:firstLine="199" w:firstLineChars="55"/>
        <w:jc w:val="center"/>
        <w:rPr>
          <w:b/>
          <w:sz w:val="36"/>
          <w:highlight w:val="none"/>
        </w:rPr>
      </w:pPr>
      <w:r>
        <w:rPr>
          <w:rFonts w:hint="eastAsia"/>
          <w:b/>
          <w:sz w:val="36"/>
          <w:highlight w:val="none"/>
        </w:rPr>
        <w:t>比选申请函</w:t>
      </w:r>
    </w:p>
    <w:p w14:paraId="60AA35B5">
      <w:pPr>
        <w:pStyle w:val="25"/>
        <w:spacing w:line="400" w:lineRule="exact"/>
        <w:ind w:firstLine="480"/>
        <w:rPr>
          <w:bCs/>
          <w:sz w:val="24"/>
          <w:szCs w:val="24"/>
          <w:highlight w:val="none"/>
        </w:rPr>
      </w:pPr>
      <w:r>
        <w:rPr>
          <w:rFonts w:hint="eastAsia"/>
          <w:bCs/>
          <w:sz w:val="24"/>
          <w:szCs w:val="24"/>
          <w:highlight w:val="none"/>
        </w:rPr>
        <w:t>__________________（比选人名称）：</w:t>
      </w:r>
    </w:p>
    <w:p w14:paraId="30F9A65D">
      <w:pPr>
        <w:pStyle w:val="25"/>
        <w:spacing w:line="400" w:lineRule="exact"/>
        <w:ind w:firstLine="480"/>
        <w:rPr>
          <w:bCs/>
          <w:sz w:val="24"/>
          <w:szCs w:val="24"/>
          <w:highlight w:val="none"/>
        </w:rPr>
      </w:pPr>
      <w:r>
        <w:rPr>
          <w:rFonts w:hint="eastAsia"/>
          <w:bCs/>
          <w:sz w:val="24"/>
          <w:szCs w:val="24"/>
          <w:highlight w:val="none"/>
        </w:rPr>
        <w:t>我方全面研究了 “</w:t>
      </w:r>
      <w:r>
        <w:rPr>
          <w:rFonts w:hint="eastAsia"/>
          <w:bCs/>
          <w:sz w:val="24"/>
          <w:szCs w:val="24"/>
          <w:highlight w:val="none"/>
          <w:u w:val="single"/>
        </w:rPr>
        <w:t xml:space="preserve">               </w:t>
      </w:r>
      <w:r>
        <w:rPr>
          <w:rFonts w:hint="eastAsia"/>
          <w:bCs/>
          <w:sz w:val="24"/>
          <w:szCs w:val="24"/>
          <w:highlight w:val="none"/>
        </w:rPr>
        <w:t>”项目比选文件，决定参加贵单位组织的本项目比选申请。我方授权</w:t>
      </w:r>
      <w:r>
        <w:rPr>
          <w:rFonts w:hint="eastAsia"/>
          <w:bCs/>
          <w:sz w:val="24"/>
          <w:szCs w:val="24"/>
          <w:highlight w:val="none"/>
          <w:u w:val="single"/>
        </w:rPr>
        <w:t xml:space="preserve">                  </w:t>
      </w:r>
      <w:r>
        <w:rPr>
          <w:rFonts w:hint="eastAsia"/>
          <w:bCs/>
          <w:sz w:val="24"/>
          <w:szCs w:val="24"/>
          <w:highlight w:val="none"/>
        </w:rPr>
        <w:t xml:space="preserve">（姓名、职务）代表我方          </w:t>
      </w:r>
      <w:r>
        <w:rPr>
          <w:rFonts w:hint="eastAsia"/>
          <w:bCs/>
          <w:sz w:val="24"/>
          <w:szCs w:val="24"/>
          <w:highlight w:val="none"/>
          <w:u w:val="single"/>
        </w:rPr>
        <w:t>（比选申请单位的名称）</w:t>
      </w:r>
      <w:r>
        <w:rPr>
          <w:rFonts w:hint="eastAsia"/>
          <w:bCs/>
          <w:sz w:val="24"/>
          <w:szCs w:val="24"/>
          <w:highlight w:val="none"/>
        </w:rPr>
        <w:t>全权处理本项目比选申请的有关事宜。</w:t>
      </w:r>
    </w:p>
    <w:p w14:paraId="63C8994E">
      <w:pPr>
        <w:pStyle w:val="25"/>
        <w:spacing w:line="400" w:lineRule="exact"/>
        <w:ind w:firstLine="480"/>
        <w:rPr>
          <w:bCs/>
          <w:sz w:val="24"/>
          <w:szCs w:val="24"/>
          <w:highlight w:val="none"/>
        </w:rPr>
      </w:pPr>
      <w:r>
        <w:rPr>
          <w:rFonts w:hint="eastAsia"/>
          <w:bCs/>
          <w:sz w:val="24"/>
          <w:szCs w:val="24"/>
          <w:highlight w:val="none"/>
        </w:rPr>
        <w:t>1、我方自愿按照比选文件规定的各项要求向比选人提供货物和服务，报价为</w:t>
      </w:r>
      <w:r>
        <w:rPr>
          <w:rFonts w:hint="eastAsia"/>
          <w:bCs/>
          <w:sz w:val="24"/>
          <w:szCs w:val="24"/>
          <w:highlight w:val="none"/>
          <w:lang w:val="en-US" w:eastAsia="zh-CN"/>
        </w:rPr>
        <w:t>含税</w:t>
      </w:r>
      <w:r>
        <w:rPr>
          <w:rFonts w:hint="eastAsia"/>
          <w:bCs/>
          <w:sz w:val="24"/>
          <w:szCs w:val="24"/>
          <w:highlight w:val="none"/>
        </w:rPr>
        <w:t>人民币</w:t>
      </w:r>
      <w:r>
        <w:rPr>
          <w:rFonts w:hint="eastAsia"/>
          <w:bCs/>
          <w:sz w:val="24"/>
          <w:szCs w:val="24"/>
          <w:highlight w:val="none"/>
          <w:u w:val="single"/>
        </w:rPr>
        <w:t xml:space="preserve">                </w:t>
      </w:r>
      <w:r>
        <w:rPr>
          <w:rFonts w:hint="eastAsia"/>
          <w:bCs/>
          <w:sz w:val="24"/>
          <w:szCs w:val="24"/>
          <w:highlight w:val="none"/>
        </w:rPr>
        <w:t>，（大写：</w:t>
      </w:r>
      <w:r>
        <w:rPr>
          <w:rFonts w:hint="eastAsia"/>
          <w:bCs/>
          <w:sz w:val="24"/>
          <w:szCs w:val="24"/>
          <w:highlight w:val="none"/>
          <w:u w:val="single"/>
        </w:rPr>
        <w:t xml:space="preserve">             </w:t>
      </w:r>
      <w:r>
        <w:rPr>
          <w:rFonts w:hint="eastAsia"/>
          <w:bCs/>
          <w:sz w:val="24"/>
          <w:szCs w:val="24"/>
          <w:highlight w:val="none"/>
        </w:rPr>
        <w:t>）。</w:t>
      </w:r>
    </w:p>
    <w:p w14:paraId="4CB7D729">
      <w:pPr>
        <w:pStyle w:val="25"/>
        <w:spacing w:line="400" w:lineRule="exact"/>
        <w:ind w:firstLine="480"/>
        <w:rPr>
          <w:bCs/>
          <w:sz w:val="24"/>
          <w:szCs w:val="24"/>
          <w:highlight w:val="none"/>
        </w:rPr>
      </w:pPr>
      <w:r>
        <w:rPr>
          <w:rFonts w:hint="eastAsia"/>
          <w:bCs/>
          <w:sz w:val="24"/>
          <w:szCs w:val="24"/>
          <w:highlight w:val="none"/>
        </w:rPr>
        <w:t>2、一旦我方中标，我方将严格履行合同规定的责任和义务，并接受比选人监督、考核。</w:t>
      </w:r>
    </w:p>
    <w:p w14:paraId="73858BD5">
      <w:pPr>
        <w:pStyle w:val="25"/>
        <w:spacing w:line="400" w:lineRule="exact"/>
        <w:ind w:firstLine="480"/>
        <w:rPr>
          <w:bCs/>
          <w:sz w:val="24"/>
          <w:szCs w:val="24"/>
          <w:highlight w:val="none"/>
        </w:rPr>
      </w:pPr>
      <w:r>
        <w:rPr>
          <w:rFonts w:hint="eastAsia"/>
          <w:bCs/>
          <w:sz w:val="24"/>
          <w:szCs w:val="24"/>
          <w:highlight w:val="none"/>
        </w:rPr>
        <w:t>3、我方同意按照比选文件的要求，向贵单位交纳人民币（大写）</w:t>
      </w:r>
      <w:r>
        <w:rPr>
          <w:rFonts w:hint="eastAsia"/>
          <w:bCs/>
          <w:sz w:val="24"/>
          <w:szCs w:val="24"/>
          <w:highlight w:val="none"/>
          <w:u w:val="single"/>
        </w:rPr>
        <w:t xml:space="preserve">        </w:t>
      </w:r>
      <w:r>
        <w:rPr>
          <w:rFonts w:hint="eastAsia"/>
          <w:bCs/>
          <w:sz w:val="24"/>
          <w:szCs w:val="24"/>
          <w:highlight w:val="none"/>
        </w:rPr>
        <w:t>元（小写：</w:t>
      </w:r>
      <w:r>
        <w:rPr>
          <w:bCs/>
          <w:sz w:val="24"/>
          <w:szCs w:val="24"/>
          <w:highlight w:val="none"/>
        </w:rPr>
        <w:t>¥</w:t>
      </w:r>
      <w:r>
        <w:rPr>
          <w:rFonts w:hint="eastAsia"/>
          <w:bCs/>
          <w:sz w:val="24"/>
          <w:szCs w:val="24"/>
          <w:highlight w:val="none"/>
          <w:u w:val="single"/>
        </w:rPr>
        <w:t xml:space="preserve">            </w:t>
      </w:r>
      <w:r>
        <w:rPr>
          <w:rFonts w:hint="eastAsia"/>
          <w:bCs/>
          <w:sz w:val="24"/>
          <w:szCs w:val="24"/>
          <w:highlight w:val="none"/>
        </w:rPr>
        <w:t>）的比选申请保证金。并承诺：下列任何情况发生时，我方将不要求退还比选申请保证金：</w:t>
      </w:r>
    </w:p>
    <w:p w14:paraId="7B99E983">
      <w:pPr>
        <w:spacing w:line="400" w:lineRule="exact"/>
        <w:ind w:firstLine="470" w:firstLineChars="196"/>
        <w:rPr>
          <w:rFonts w:ascii="宋体" w:hAnsi="宋体"/>
          <w:szCs w:val="24"/>
          <w:highlight w:val="none"/>
        </w:rPr>
      </w:pPr>
      <w:r>
        <w:rPr>
          <w:rFonts w:hint="eastAsia" w:ascii="宋体" w:hAnsi="宋体"/>
          <w:szCs w:val="24"/>
          <w:highlight w:val="none"/>
        </w:rPr>
        <w:t>（</w:t>
      </w:r>
      <w:r>
        <w:rPr>
          <w:rFonts w:ascii="宋体" w:hAnsi="宋体"/>
          <w:szCs w:val="24"/>
          <w:highlight w:val="none"/>
        </w:rPr>
        <w:t>1</w:t>
      </w:r>
      <w:r>
        <w:rPr>
          <w:rFonts w:hint="eastAsia" w:ascii="宋体" w:hAnsi="宋体"/>
          <w:szCs w:val="24"/>
          <w:highlight w:val="none"/>
        </w:rPr>
        <w:t>）比选申请人在比选文件规定的截止时间前撤回比选申请未采用书面方式通知比选人的。</w:t>
      </w:r>
    </w:p>
    <w:p w14:paraId="5DD21437">
      <w:pPr>
        <w:spacing w:line="400" w:lineRule="exact"/>
        <w:ind w:firstLine="470" w:firstLineChars="196"/>
        <w:rPr>
          <w:rFonts w:ascii="宋体" w:hAnsi="宋体"/>
          <w:szCs w:val="24"/>
          <w:highlight w:val="none"/>
        </w:rPr>
      </w:pPr>
      <w:r>
        <w:rPr>
          <w:rFonts w:hint="eastAsia" w:ascii="宋体" w:hAnsi="宋体"/>
          <w:szCs w:val="24"/>
          <w:highlight w:val="none"/>
        </w:rPr>
        <w:t>（2）比选申请人在比选文件规定的截止时间后撤回比选申请的。</w:t>
      </w:r>
    </w:p>
    <w:p w14:paraId="259794B2">
      <w:pPr>
        <w:spacing w:line="400" w:lineRule="exact"/>
        <w:ind w:firstLine="470" w:firstLineChars="196"/>
        <w:rPr>
          <w:rFonts w:ascii="宋体" w:hAnsi="宋体"/>
          <w:szCs w:val="24"/>
          <w:highlight w:val="none"/>
        </w:rPr>
      </w:pPr>
      <w:r>
        <w:rPr>
          <w:rFonts w:hint="eastAsia" w:ascii="宋体" w:hAnsi="宋体"/>
          <w:szCs w:val="24"/>
          <w:highlight w:val="none"/>
        </w:rPr>
        <w:t>（3）由于中标人的原因未能按照比选文件的规定与比选人签订合同。</w:t>
      </w:r>
    </w:p>
    <w:p w14:paraId="1F4519A7">
      <w:pPr>
        <w:spacing w:line="400" w:lineRule="exact"/>
        <w:ind w:firstLine="480"/>
        <w:rPr>
          <w:rFonts w:ascii="宋体" w:hAnsi="宋体"/>
          <w:szCs w:val="24"/>
          <w:highlight w:val="none"/>
        </w:rPr>
      </w:pPr>
      <w:r>
        <w:rPr>
          <w:rFonts w:hint="eastAsia" w:ascii="宋体" w:hAnsi="宋体"/>
          <w:szCs w:val="24"/>
          <w:highlight w:val="none"/>
        </w:rPr>
        <w:t>（4）比选申请有效期内，比选申请人在比选申请活动中有违规、违纪和违法的行为。</w:t>
      </w:r>
    </w:p>
    <w:p w14:paraId="6A08E527">
      <w:pPr>
        <w:pStyle w:val="25"/>
        <w:spacing w:line="400" w:lineRule="exact"/>
        <w:ind w:firstLine="480"/>
        <w:rPr>
          <w:rFonts w:ascii="宋体" w:hAnsi="宋体"/>
          <w:sz w:val="24"/>
          <w:szCs w:val="24"/>
          <w:highlight w:val="none"/>
        </w:rPr>
      </w:pPr>
      <w:r>
        <w:rPr>
          <w:rFonts w:hint="eastAsia" w:ascii="宋体" w:hAnsi="宋体"/>
          <w:sz w:val="24"/>
          <w:szCs w:val="24"/>
          <w:highlight w:val="none"/>
        </w:rPr>
        <w:t>（5）法律、法规规定的其他不退还比选申请保证金的情况。</w:t>
      </w:r>
    </w:p>
    <w:p w14:paraId="31C3F6A8">
      <w:pPr>
        <w:pStyle w:val="25"/>
        <w:spacing w:line="400" w:lineRule="exact"/>
        <w:ind w:firstLine="480"/>
        <w:rPr>
          <w:bCs/>
          <w:sz w:val="24"/>
          <w:szCs w:val="24"/>
          <w:highlight w:val="none"/>
        </w:rPr>
      </w:pPr>
      <w:r>
        <w:rPr>
          <w:rFonts w:hint="eastAsia"/>
          <w:bCs/>
          <w:sz w:val="24"/>
          <w:szCs w:val="24"/>
          <w:highlight w:val="none"/>
        </w:rPr>
        <w:t>4、我方为本项目提交的比选申请文件正本1份，副本</w:t>
      </w:r>
      <w:r>
        <w:rPr>
          <w:rFonts w:hint="eastAsia" w:ascii="宋体" w:hAnsi="宋体"/>
          <w:sz w:val="24"/>
          <w:szCs w:val="24"/>
          <w:highlight w:val="none"/>
        </w:rPr>
        <w:t>2</w:t>
      </w:r>
      <w:r>
        <w:rPr>
          <w:rFonts w:hint="eastAsia"/>
          <w:bCs/>
          <w:sz w:val="24"/>
          <w:szCs w:val="24"/>
          <w:highlight w:val="none"/>
        </w:rPr>
        <w:t>份，电子文档（光盘或U盘）1份。</w:t>
      </w:r>
    </w:p>
    <w:p w14:paraId="7CE1AC8E">
      <w:pPr>
        <w:pStyle w:val="25"/>
        <w:spacing w:line="400" w:lineRule="exact"/>
        <w:ind w:firstLine="480"/>
        <w:rPr>
          <w:bCs/>
          <w:sz w:val="24"/>
          <w:szCs w:val="24"/>
          <w:highlight w:val="none"/>
        </w:rPr>
      </w:pPr>
      <w:r>
        <w:rPr>
          <w:rFonts w:hint="eastAsia"/>
          <w:bCs/>
          <w:sz w:val="24"/>
          <w:szCs w:val="24"/>
          <w:highlight w:val="none"/>
        </w:rPr>
        <w:t>5、我方愿意提供贵公司可能另外要求的，与比选申请有关的文件资料，并保证我方已提供和将要提供的文件资料是真实、准确的。</w:t>
      </w:r>
    </w:p>
    <w:p w14:paraId="7F913FA5">
      <w:pPr>
        <w:pStyle w:val="25"/>
        <w:spacing w:line="400" w:lineRule="exact"/>
        <w:ind w:firstLine="480"/>
        <w:rPr>
          <w:bCs/>
          <w:sz w:val="24"/>
          <w:szCs w:val="24"/>
          <w:highlight w:val="none"/>
        </w:rPr>
      </w:pPr>
      <w:r>
        <w:rPr>
          <w:rFonts w:hint="eastAsia"/>
          <w:bCs/>
          <w:sz w:val="24"/>
          <w:szCs w:val="24"/>
          <w:highlight w:val="none"/>
        </w:rPr>
        <w:t>6、我方完全理解比选人不一定将合同授予最低报价的比选申请人的行为。</w:t>
      </w:r>
    </w:p>
    <w:p w14:paraId="665CB208">
      <w:pPr>
        <w:pStyle w:val="25"/>
        <w:spacing w:line="400" w:lineRule="exact"/>
        <w:ind w:firstLine="480"/>
        <w:rPr>
          <w:bCs/>
          <w:sz w:val="24"/>
          <w:szCs w:val="24"/>
          <w:highlight w:val="none"/>
        </w:rPr>
      </w:pPr>
      <w:r>
        <w:rPr>
          <w:rFonts w:hint="eastAsia"/>
          <w:bCs/>
          <w:sz w:val="24"/>
          <w:szCs w:val="24"/>
          <w:highlight w:val="none"/>
        </w:rPr>
        <w:t>7、我方完全理解比选人所采用的比选方式，并对比选人的比选结果不提出任何质疑和上诉。</w:t>
      </w:r>
    </w:p>
    <w:p w14:paraId="7D38C7F7">
      <w:pPr>
        <w:pStyle w:val="25"/>
        <w:spacing w:line="400" w:lineRule="exact"/>
        <w:ind w:firstLine="480"/>
        <w:rPr>
          <w:bCs/>
          <w:sz w:val="24"/>
          <w:szCs w:val="24"/>
          <w:highlight w:val="none"/>
          <w:u w:val="single"/>
        </w:rPr>
      </w:pPr>
      <w:r>
        <w:rPr>
          <w:rFonts w:hint="eastAsia"/>
          <w:bCs/>
          <w:sz w:val="24"/>
          <w:szCs w:val="24"/>
          <w:highlight w:val="none"/>
        </w:rPr>
        <w:t>比选申请人：</w:t>
      </w:r>
      <w:r>
        <w:rPr>
          <w:rFonts w:hint="eastAsia"/>
          <w:bCs/>
          <w:sz w:val="24"/>
          <w:szCs w:val="24"/>
          <w:highlight w:val="none"/>
          <w:u w:val="single"/>
        </w:rPr>
        <w:t xml:space="preserve">                          </w:t>
      </w:r>
      <w:r>
        <w:rPr>
          <w:rFonts w:hint="eastAsia"/>
          <w:bCs/>
          <w:sz w:val="24"/>
          <w:szCs w:val="24"/>
          <w:highlight w:val="none"/>
        </w:rPr>
        <w:t>（盖章）</w:t>
      </w:r>
    </w:p>
    <w:p w14:paraId="3E8DD59E">
      <w:pPr>
        <w:pStyle w:val="25"/>
        <w:spacing w:line="400" w:lineRule="exact"/>
        <w:ind w:firstLine="480"/>
        <w:rPr>
          <w:bCs/>
          <w:sz w:val="24"/>
          <w:szCs w:val="24"/>
          <w:highlight w:val="none"/>
          <w:u w:val="single"/>
        </w:rPr>
      </w:pPr>
      <w:r>
        <w:rPr>
          <w:rFonts w:hint="eastAsia"/>
          <w:bCs/>
          <w:sz w:val="24"/>
          <w:szCs w:val="24"/>
          <w:highlight w:val="none"/>
        </w:rPr>
        <w:t>法定代表人或其委托代理人：</w:t>
      </w:r>
      <w:r>
        <w:rPr>
          <w:rFonts w:hint="eastAsia"/>
          <w:bCs/>
          <w:sz w:val="24"/>
          <w:szCs w:val="24"/>
          <w:highlight w:val="none"/>
          <w:u w:val="single"/>
        </w:rPr>
        <w:t xml:space="preserve">              </w:t>
      </w:r>
      <w:r>
        <w:rPr>
          <w:rFonts w:hint="eastAsia"/>
          <w:bCs/>
          <w:sz w:val="24"/>
          <w:szCs w:val="24"/>
          <w:highlight w:val="none"/>
        </w:rPr>
        <w:t>（签字）</w:t>
      </w:r>
    </w:p>
    <w:p w14:paraId="16CD6580">
      <w:pPr>
        <w:pStyle w:val="25"/>
        <w:spacing w:line="400" w:lineRule="exact"/>
        <w:ind w:firstLine="480"/>
        <w:rPr>
          <w:bCs/>
          <w:sz w:val="24"/>
          <w:szCs w:val="24"/>
          <w:highlight w:val="none"/>
          <w:u w:val="single"/>
        </w:rPr>
      </w:pPr>
      <w:r>
        <w:rPr>
          <w:rFonts w:hint="eastAsia"/>
          <w:bCs/>
          <w:sz w:val="24"/>
          <w:szCs w:val="24"/>
          <w:highlight w:val="none"/>
        </w:rPr>
        <w:t>通讯地址：</w:t>
      </w:r>
      <w:r>
        <w:rPr>
          <w:rFonts w:hint="eastAsia"/>
          <w:bCs/>
          <w:sz w:val="24"/>
          <w:szCs w:val="24"/>
          <w:highlight w:val="none"/>
          <w:u w:val="single"/>
        </w:rPr>
        <w:t xml:space="preserve">                                 </w:t>
      </w:r>
    </w:p>
    <w:p w14:paraId="0A25EABC">
      <w:pPr>
        <w:pStyle w:val="25"/>
        <w:spacing w:line="400" w:lineRule="exact"/>
        <w:ind w:firstLine="480"/>
        <w:rPr>
          <w:bCs/>
          <w:sz w:val="24"/>
          <w:szCs w:val="24"/>
          <w:highlight w:val="none"/>
        </w:rPr>
      </w:pPr>
      <w:r>
        <w:rPr>
          <w:rFonts w:hint="eastAsia"/>
          <w:bCs/>
          <w:sz w:val="24"/>
          <w:szCs w:val="24"/>
          <w:highlight w:val="none"/>
        </w:rPr>
        <w:t>邮政编码：</w:t>
      </w:r>
      <w:r>
        <w:rPr>
          <w:rFonts w:hint="eastAsia"/>
          <w:bCs/>
          <w:sz w:val="24"/>
          <w:szCs w:val="24"/>
          <w:highlight w:val="none"/>
          <w:u w:val="single"/>
        </w:rPr>
        <w:t xml:space="preserve">                                  </w:t>
      </w:r>
    </w:p>
    <w:p w14:paraId="6530CD2D">
      <w:pPr>
        <w:pStyle w:val="25"/>
        <w:spacing w:line="400" w:lineRule="exact"/>
        <w:ind w:firstLine="480"/>
        <w:rPr>
          <w:bCs/>
          <w:sz w:val="24"/>
          <w:szCs w:val="24"/>
          <w:highlight w:val="none"/>
          <w:u w:val="single"/>
        </w:rPr>
      </w:pPr>
      <w:r>
        <w:rPr>
          <w:rFonts w:hint="eastAsia"/>
          <w:bCs/>
          <w:sz w:val="24"/>
          <w:szCs w:val="24"/>
          <w:highlight w:val="none"/>
        </w:rPr>
        <w:t xml:space="preserve">联系电话： </w:t>
      </w:r>
      <w:r>
        <w:rPr>
          <w:rFonts w:hint="eastAsia"/>
          <w:bCs/>
          <w:sz w:val="24"/>
          <w:szCs w:val="24"/>
          <w:highlight w:val="none"/>
          <w:u w:val="single"/>
        </w:rPr>
        <w:t xml:space="preserve">                                 </w:t>
      </w:r>
    </w:p>
    <w:p w14:paraId="46E3F9CF">
      <w:pPr>
        <w:pStyle w:val="25"/>
        <w:spacing w:line="400" w:lineRule="exact"/>
        <w:ind w:firstLine="480"/>
        <w:rPr>
          <w:bCs/>
          <w:sz w:val="24"/>
          <w:szCs w:val="24"/>
          <w:highlight w:val="none"/>
        </w:rPr>
      </w:pPr>
      <w:r>
        <w:rPr>
          <w:rFonts w:hint="eastAsia"/>
          <w:bCs/>
          <w:sz w:val="24"/>
          <w:szCs w:val="24"/>
          <w:highlight w:val="none"/>
        </w:rPr>
        <w:t>传    真：</w:t>
      </w:r>
      <w:r>
        <w:rPr>
          <w:rFonts w:hint="eastAsia"/>
          <w:bCs/>
          <w:sz w:val="24"/>
          <w:szCs w:val="24"/>
          <w:highlight w:val="none"/>
          <w:u w:val="single"/>
        </w:rPr>
        <w:t xml:space="preserve">                              </w:t>
      </w:r>
      <w:bookmarkStart w:id="438" w:name="_Toc345958266"/>
      <w:bookmarkStart w:id="439" w:name="_Toc247192677"/>
      <w:bookmarkStart w:id="440" w:name="_Toc217446085"/>
      <w:r>
        <w:rPr>
          <w:rFonts w:hint="eastAsia"/>
          <w:bCs/>
          <w:sz w:val="24"/>
          <w:szCs w:val="24"/>
          <w:highlight w:val="none"/>
          <w:u w:val="single"/>
        </w:rPr>
        <w:t xml:space="preserve">    </w:t>
      </w:r>
    </w:p>
    <w:p w14:paraId="7C10FCB8">
      <w:pPr>
        <w:pStyle w:val="25"/>
        <w:spacing w:line="400" w:lineRule="exact"/>
        <w:ind w:firstLine="480"/>
        <w:rPr>
          <w:rFonts w:hAnsi="宋体"/>
          <w:b/>
          <w:szCs w:val="32"/>
          <w:highlight w:val="none"/>
        </w:rPr>
      </w:pPr>
      <w:r>
        <w:rPr>
          <w:rFonts w:hint="eastAsia"/>
          <w:bCs/>
          <w:sz w:val="24"/>
          <w:szCs w:val="24"/>
          <w:highlight w:val="none"/>
        </w:rPr>
        <w:t>日    期：</w:t>
      </w:r>
      <w:r>
        <w:rPr>
          <w:rFonts w:hint="eastAsia"/>
          <w:bCs/>
          <w:sz w:val="24"/>
          <w:szCs w:val="24"/>
          <w:highlight w:val="none"/>
          <w:u w:val="single"/>
        </w:rPr>
        <w:t xml:space="preserve">     </w:t>
      </w:r>
      <w:r>
        <w:rPr>
          <w:rFonts w:hint="eastAsia"/>
          <w:bCs/>
          <w:sz w:val="24"/>
          <w:szCs w:val="24"/>
          <w:highlight w:val="none"/>
        </w:rPr>
        <w:t xml:space="preserve">年 </w:t>
      </w:r>
      <w:bookmarkEnd w:id="438"/>
      <w:bookmarkEnd w:id="439"/>
      <w:r>
        <w:rPr>
          <w:rFonts w:hint="eastAsia"/>
          <w:bCs/>
          <w:sz w:val="24"/>
          <w:szCs w:val="24"/>
          <w:highlight w:val="none"/>
          <w:u w:val="single"/>
        </w:rPr>
        <w:t xml:space="preserve">  </w:t>
      </w:r>
      <w:bookmarkStart w:id="441" w:name="_Toc237496921"/>
      <w:r>
        <w:rPr>
          <w:rFonts w:hint="eastAsia"/>
          <w:bCs/>
          <w:sz w:val="24"/>
          <w:szCs w:val="24"/>
          <w:highlight w:val="none"/>
          <w:u w:val="single"/>
        </w:rPr>
        <w:t xml:space="preserve">  </w:t>
      </w:r>
      <w:r>
        <w:rPr>
          <w:rFonts w:hint="eastAsia"/>
          <w:bCs/>
          <w:sz w:val="24"/>
          <w:szCs w:val="24"/>
          <w:highlight w:val="none"/>
        </w:rPr>
        <w:t xml:space="preserve">月  </w:t>
      </w:r>
      <w:r>
        <w:rPr>
          <w:rFonts w:hint="eastAsia"/>
          <w:bCs/>
          <w:sz w:val="24"/>
          <w:szCs w:val="24"/>
          <w:highlight w:val="none"/>
          <w:u w:val="single"/>
        </w:rPr>
        <w:t xml:space="preserve">    </w:t>
      </w:r>
      <w:r>
        <w:rPr>
          <w:rFonts w:hint="eastAsia"/>
          <w:bCs/>
          <w:sz w:val="24"/>
          <w:szCs w:val="24"/>
          <w:highlight w:val="none"/>
        </w:rPr>
        <w:t xml:space="preserve"> 日 </w:t>
      </w:r>
      <w:bookmarkEnd w:id="441"/>
      <w:r>
        <w:rPr>
          <w:rFonts w:hint="eastAsia"/>
          <w:bCs/>
          <w:sz w:val="24"/>
          <w:szCs w:val="24"/>
          <w:highlight w:val="none"/>
        </w:rPr>
        <w:t xml:space="preserve">                          </w:t>
      </w:r>
      <w:r>
        <w:rPr>
          <w:rFonts w:hint="eastAsia"/>
          <w:b/>
          <w:bCs/>
          <w:sz w:val="24"/>
          <w:szCs w:val="24"/>
          <w:highlight w:val="none"/>
        </w:rPr>
        <w:t xml:space="preserve">            </w:t>
      </w:r>
    </w:p>
    <w:p w14:paraId="738C6747">
      <w:pPr>
        <w:pStyle w:val="3"/>
        <w:rPr>
          <w:highlight w:val="none"/>
        </w:rPr>
      </w:pPr>
      <w:bookmarkStart w:id="442" w:name="_Toc21814"/>
      <w:bookmarkStart w:id="443" w:name="_Toc7314"/>
      <w:bookmarkStart w:id="444" w:name="_Toc5395"/>
      <w:bookmarkStart w:id="445" w:name="_Toc10422"/>
      <w:bookmarkStart w:id="446" w:name="_Toc4605"/>
      <w:bookmarkStart w:id="447" w:name="_Toc17590"/>
      <w:bookmarkStart w:id="448" w:name="_Toc487650600"/>
      <w:bookmarkStart w:id="449" w:name="_Toc28585"/>
      <w:bookmarkStart w:id="450" w:name="_Toc29463"/>
      <w:bookmarkStart w:id="451" w:name="_Toc27924"/>
      <w:r>
        <w:rPr>
          <w:rFonts w:hint="eastAsia"/>
          <w:highlight w:val="none"/>
        </w:rPr>
        <w:t>三</w:t>
      </w:r>
      <w:r>
        <w:rPr>
          <w:highlight w:val="none"/>
        </w:rPr>
        <w:t>、法定代表人身份证明及授权委托书</w:t>
      </w:r>
      <w:bookmarkEnd w:id="442"/>
      <w:bookmarkEnd w:id="443"/>
      <w:bookmarkEnd w:id="444"/>
      <w:bookmarkEnd w:id="445"/>
      <w:bookmarkEnd w:id="446"/>
      <w:bookmarkEnd w:id="447"/>
      <w:bookmarkEnd w:id="448"/>
      <w:bookmarkEnd w:id="449"/>
      <w:bookmarkEnd w:id="450"/>
      <w:bookmarkEnd w:id="451"/>
    </w:p>
    <w:p w14:paraId="3C86DEBC">
      <w:pPr>
        <w:pStyle w:val="5"/>
        <w:ind w:firstLine="562"/>
        <w:rPr>
          <w:highlight w:val="none"/>
        </w:rPr>
      </w:pPr>
      <w:bookmarkStart w:id="452" w:name="_Toc487650601"/>
      <w:r>
        <w:rPr>
          <w:rFonts w:hint="eastAsia"/>
          <w:highlight w:val="none"/>
        </w:rPr>
        <w:t>3-1</w:t>
      </w:r>
      <w:r>
        <w:rPr>
          <w:highlight w:val="none"/>
        </w:rPr>
        <w:t>法定代表人身份证明</w:t>
      </w:r>
      <w:bookmarkEnd w:id="452"/>
    </w:p>
    <w:p w14:paraId="500C3A84">
      <w:pPr>
        <w:ind w:firstLine="199" w:firstLineChars="55"/>
        <w:jc w:val="center"/>
        <w:rPr>
          <w:b/>
          <w:sz w:val="36"/>
          <w:highlight w:val="none"/>
        </w:rPr>
      </w:pPr>
      <w:r>
        <w:rPr>
          <w:b/>
          <w:sz w:val="36"/>
          <w:highlight w:val="none"/>
        </w:rPr>
        <w:t>法定代表人身份证明</w:t>
      </w:r>
    </w:p>
    <w:p w14:paraId="458D9606">
      <w:pPr>
        <w:ind w:firstLineChars="0"/>
        <w:rPr>
          <w:rFonts w:ascii="Arial" w:hAnsi="Arial" w:cs="Arial"/>
          <w:highlight w:val="none"/>
          <w:u w:val="single"/>
        </w:rPr>
      </w:pPr>
      <w:r>
        <w:rPr>
          <w:rFonts w:hint="eastAsia" w:ascii="Arial" w:hAnsi="Arial" w:cs="Arial"/>
          <w:highlight w:val="none"/>
        </w:rPr>
        <w:t>比选申请人</w:t>
      </w:r>
      <w:r>
        <w:rPr>
          <w:rFonts w:ascii="Arial" w:hAnsi="Arial" w:cs="Arial"/>
          <w:highlight w:val="none"/>
        </w:rPr>
        <w:t>名称：</w:t>
      </w:r>
      <w:r>
        <w:rPr>
          <w:rFonts w:ascii="Arial" w:hAnsi="Arial" w:cs="Arial"/>
          <w:highlight w:val="none"/>
          <w:u w:val="single"/>
        </w:rPr>
        <w:t xml:space="preserve"> </w:t>
      </w:r>
      <w:r>
        <w:rPr>
          <w:rFonts w:hint="eastAsia" w:ascii="Arial" w:hAnsi="Arial" w:cs="Arial"/>
          <w:highlight w:val="none"/>
          <w:u w:val="single"/>
        </w:rPr>
        <w:t xml:space="preserve">                    </w:t>
      </w:r>
    </w:p>
    <w:p w14:paraId="422D55FC">
      <w:pPr>
        <w:ind w:firstLineChars="0"/>
        <w:rPr>
          <w:rFonts w:ascii="Arial" w:hAnsi="Arial" w:cs="Arial"/>
          <w:highlight w:val="none"/>
        </w:rPr>
      </w:pPr>
      <w:r>
        <w:rPr>
          <w:rFonts w:ascii="Arial" w:hAnsi="Arial" w:cs="Arial"/>
          <w:spacing w:val="39"/>
          <w:highlight w:val="none"/>
        </w:rPr>
        <w:t>单位性</w:t>
      </w:r>
      <w:r>
        <w:rPr>
          <w:rFonts w:ascii="Arial" w:hAnsi="Arial" w:cs="Arial"/>
          <w:spacing w:val="-1"/>
          <w:highlight w:val="none"/>
        </w:rPr>
        <w:t>质</w:t>
      </w:r>
      <w:r>
        <w:rPr>
          <w:rFonts w:ascii="Arial" w:hAnsi="Arial" w:cs="Arial"/>
          <w:highlight w:val="none"/>
        </w:rPr>
        <w:t xml:space="preserve">： </w:t>
      </w:r>
      <w:r>
        <w:rPr>
          <w:rFonts w:hint="eastAsia" w:ascii="Arial" w:hAnsi="Arial" w:cs="Arial"/>
          <w:highlight w:val="none"/>
          <w:u w:val="single"/>
        </w:rPr>
        <w:t xml:space="preserve">                    </w:t>
      </w:r>
      <w:r>
        <w:rPr>
          <w:rFonts w:hint="eastAsia" w:ascii="Arial" w:hAnsi="Arial" w:cs="Arial"/>
          <w:highlight w:val="none"/>
        </w:rPr>
        <w:t xml:space="preserve"> </w:t>
      </w:r>
    </w:p>
    <w:p w14:paraId="36485073">
      <w:pPr>
        <w:ind w:firstLineChars="0"/>
        <w:rPr>
          <w:rFonts w:ascii="Arial" w:hAnsi="Arial" w:cs="Arial"/>
          <w:highlight w:val="none"/>
          <w:u w:val="single"/>
        </w:rPr>
      </w:pPr>
      <w:r>
        <w:rPr>
          <w:rFonts w:ascii="Arial" w:hAnsi="Arial" w:cs="Arial"/>
          <w:spacing w:val="356"/>
          <w:highlight w:val="none"/>
        </w:rPr>
        <w:t>地</w:t>
      </w:r>
      <w:r>
        <w:rPr>
          <w:rFonts w:ascii="Arial" w:hAnsi="Arial" w:cs="Arial"/>
          <w:highlight w:val="none"/>
        </w:rPr>
        <w:t>址：</w:t>
      </w:r>
      <w:r>
        <w:rPr>
          <w:rFonts w:hint="eastAsia" w:ascii="Arial" w:hAnsi="Arial" w:cs="Arial"/>
          <w:highlight w:val="none"/>
          <w:u w:val="single"/>
        </w:rPr>
        <w:t xml:space="preserve">                     </w:t>
      </w:r>
      <w:r>
        <w:rPr>
          <w:rFonts w:hint="eastAsia" w:ascii="Arial" w:hAnsi="Arial" w:cs="Arial"/>
          <w:highlight w:val="none"/>
        </w:rPr>
        <w:t xml:space="preserve"> </w:t>
      </w:r>
    </w:p>
    <w:p w14:paraId="556BC232">
      <w:pPr>
        <w:ind w:firstLineChars="0"/>
        <w:rPr>
          <w:rFonts w:ascii="Arial" w:hAnsi="Arial" w:cs="Arial"/>
          <w:highlight w:val="none"/>
        </w:rPr>
      </w:pPr>
      <w:r>
        <w:rPr>
          <w:rFonts w:ascii="Arial" w:hAnsi="Arial" w:cs="Arial"/>
          <w:highlight w:val="none"/>
        </w:rPr>
        <w:t>成立时间：</w:t>
      </w:r>
      <w:r>
        <w:rPr>
          <w:rFonts w:hint="eastAsia" w:ascii="Arial" w:hAnsi="Arial" w:cs="Arial"/>
          <w:highlight w:val="none"/>
          <w:u w:val="single"/>
        </w:rPr>
        <w:t xml:space="preserve">    </w:t>
      </w:r>
      <w:r>
        <w:rPr>
          <w:rFonts w:ascii="Arial" w:hAnsi="Arial" w:cs="Arial"/>
          <w:highlight w:val="none"/>
        </w:rPr>
        <w:t>年</w:t>
      </w:r>
      <w:r>
        <w:rPr>
          <w:rFonts w:hint="eastAsia" w:ascii="Arial" w:hAnsi="Arial" w:cs="Arial"/>
          <w:highlight w:val="none"/>
          <w:u w:val="single"/>
        </w:rPr>
        <w:t xml:space="preserve">   </w:t>
      </w:r>
      <w:r>
        <w:rPr>
          <w:rFonts w:ascii="Arial" w:hAnsi="Arial" w:cs="Arial"/>
          <w:highlight w:val="none"/>
        </w:rPr>
        <w:t>月</w:t>
      </w:r>
      <w:r>
        <w:rPr>
          <w:rFonts w:hint="eastAsia" w:ascii="Arial" w:hAnsi="Arial" w:cs="Arial"/>
          <w:highlight w:val="none"/>
          <w:u w:val="single"/>
        </w:rPr>
        <w:t xml:space="preserve">    </w:t>
      </w:r>
      <w:r>
        <w:rPr>
          <w:rFonts w:ascii="Arial" w:hAnsi="Arial" w:cs="Arial"/>
          <w:highlight w:val="none"/>
        </w:rPr>
        <w:t>日</w:t>
      </w:r>
    </w:p>
    <w:p w14:paraId="4F020C4C">
      <w:pPr>
        <w:ind w:firstLineChars="0"/>
        <w:rPr>
          <w:rFonts w:ascii="Arial" w:hAnsi="Arial" w:cs="Arial"/>
          <w:highlight w:val="none"/>
          <w:u w:val="single"/>
        </w:rPr>
      </w:pPr>
      <w:r>
        <w:rPr>
          <w:rFonts w:ascii="Arial" w:hAnsi="Arial" w:cs="Arial"/>
          <w:highlight w:val="none"/>
        </w:rPr>
        <w:t>经营期限：</w:t>
      </w:r>
      <w:r>
        <w:rPr>
          <w:rFonts w:ascii="Arial" w:hAnsi="Arial" w:cs="Arial"/>
          <w:highlight w:val="none"/>
          <w:u w:val="single"/>
        </w:rPr>
        <w:t xml:space="preserve"> </w:t>
      </w:r>
      <w:r>
        <w:rPr>
          <w:rFonts w:hint="eastAsia" w:ascii="Arial" w:hAnsi="Arial" w:cs="Arial"/>
          <w:highlight w:val="none"/>
          <w:u w:val="single"/>
        </w:rPr>
        <w:t xml:space="preserve">                       </w:t>
      </w:r>
    </w:p>
    <w:p w14:paraId="0C320557">
      <w:pPr>
        <w:ind w:firstLineChars="0"/>
        <w:rPr>
          <w:rFonts w:ascii="Arial" w:hAnsi="Arial" w:cs="Arial"/>
          <w:highlight w:val="none"/>
          <w:u w:val="single"/>
        </w:rPr>
      </w:pPr>
      <w:r>
        <w:rPr>
          <w:rFonts w:ascii="Arial" w:hAnsi="Arial" w:cs="Arial"/>
          <w:highlight w:val="none"/>
        </w:rPr>
        <w:t>姓名：</w:t>
      </w:r>
      <w:r>
        <w:rPr>
          <w:rFonts w:hint="eastAsia" w:ascii="Arial" w:hAnsi="Arial" w:cs="Arial"/>
          <w:highlight w:val="none"/>
          <w:u w:val="single"/>
        </w:rPr>
        <w:t xml:space="preserve">          </w:t>
      </w:r>
      <w:r>
        <w:rPr>
          <w:rFonts w:ascii="Arial" w:hAnsi="Arial" w:cs="Arial"/>
          <w:highlight w:val="none"/>
        </w:rPr>
        <w:t>性别：</w:t>
      </w:r>
      <w:r>
        <w:rPr>
          <w:rFonts w:hint="eastAsia" w:ascii="Arial" w:hAnsi="Arial" w:cs="Arial"/>
          <w:highlight w:val="none"/>
          <w:u w:val="single"/>
        </w:rPr>
        <w:t xml:space="preserve">      </w:t>
      </w:r>
      <w:r>
        <w:rPr>
          <w:rFonts w:ascii="Arial" w:hAnsi="Arial" w:cs="Arial"/>
          <w:highlight w:val="none"/>
        </w:rPr>
        <w:t>年龄：</w:t>
      </w:r>
      <w:r>
        <w:rPr>
          <w:rFonts w:hint="eastAsia" w:ascii="Arial" w:hAnsi="Arial" w:cs="Arial"/>
          <w:highlight w:val="none"/>
          <w:u w:val="single"/>
        </w:rPr>
        <w:t xml:space="preserve">     </w:t>
      </w:r>
      <w:r>
        <w:rPr>
          <w:rFonts w:hint="eastAsia" w:ascii="Arial" w:hAnsi="Arial" w:cs="Arial"/>
          <w:highlight w:val="none"/>
        </w:rPr>
        <w:t xml:space="preserve">  </w:t>
      </w:r>
      <w:r>
        <w:rPr>
          <w:rFonts w:ascii="Arial" w:hAnsi="Arial" w:cs="Arial"/>
          <w:highlight w:val="none"/>
        </w:rPr>
        <w:t>职务：</w:t>
      </w:r>
      <w:r>
        <w:rPr>
          <w:rFonts w:hint="eastAsia" w:ascii="Arial" w:hAnsi="Arial" w:cs="Arial"/>
          <w:highlight w:val="none"/>
        </w:rPr>
        <w:t xml:space="preserve"> </w:t>
      </w:r>
      <w:r>
        <w:rPr>
          <w:rFonts w:hint="eastAsia" w:ascii="Arial" w:hAnsi="Arial" w:cs="Arial"/>
          <w:highlight w:val="none"/>
          <w:u w:val="single"/>
        </w:rPr>
        <w:t xml:space="preserve">     </w:t>
      </w:r>
      <w:r>
        <w:rPr>
          <w:rFonts w:ascii="Arial" w:hAnsi="Arial" w:cs="Arial"/>
          <w:highlight w:val="none"/>
        </w:rPr>
        <w:t>系</w:t>
      </w:r>
      <w:r>
        <w:rPr>
          <w:rFonts w:hint="eastAsia" w:ascii="Arial" w:hAnsi="Arial" w:cs="Arial"/>
          <w:highlight w:val="none"/>
          <w:u w:val="single"/>
        </w:rPr>
        <w:t xml:space="preserve">            </w:t>
      </w:r>
      <w:r>
        <w:rPr>
          <w:rFonts w:ascii="Arial" w:hAnsi="Arial" w:cs="Arial"/>
          <w:highlight w:val="none"/>
        </w:rPr>
        <w:t>的法定代表人。</w:t>
      </w:r>
    </w:p>
    <w:p w14:paraId="464E890B">
      <w:pPr>
        <w:ind w:left="566" w:leftChars="236" w:firstLine="480" w:firstLineChars="0"/>
        <w:rPr>
          <w:rFonts w:ascii="Arial" w:hAnsi="Arial" w:cs="Arial"/>
          <w:highlight w:val="none"/>
        </w:rPr>
      </w:pPr>
      <w:r>
        <w:rPr>
          <w:rFonts w:ascii="Arial" w:hAnsi="Arial" w:cs="Arial"/>
          <w:highlight w:val="none"/>
        </w:rPr>
        <w:t>特此证明。</w:t>
      </w:r>
    </w:p>
    <w:p w14:paraId="20B8CCD4">
      <w:pPr>
        <w:ind w:firstLine="480"/>
        <w:rPr>
          <w:rFonts w:ascii="Arial" w:hAnsi="Arial" w:cs="Arial"/>
          <w:highlight w:val="none"/>
        </w:rPr>
      </w:pPr>
    </w:p>
    <w:p w14:paraId="4D423C01">
      <w:pPr>
        <w:ind w:firstLine="480"/>
        <w:rPr>
          <w:rFonts w:ascii="Arial" w:hAnsi="Arial" w:cs="Arial"/>
          <w:highlight w:val="none"/>
        </w:rPr>
      </w:pPr>
      <w:r>
        <w:rPr>
          <w:rFonts w:hint="eastAsia" w:ascii="Arial" w:hAnsi="Arial" w:cs="Arial"/>
          <w:highlight w:val="none"/>
        </w:rPr>
        <w:t>比选申请人</w:t>
      </w:r>
      <w:r>
        <w:rPr>
          <w:rFonts w:ascii="Arial" w:hAnsi="Arial" w:cs="Arial"/>
          <w:highlight w:val="none"/>
        </w:rPr>
        <w:t>：</w:t>
      </w:r>
      <w:r>
        <w:rPr>
          <w:rFonts w:hint="eastAsia" w:ascii="Arial" w:hAnsi="Arial" w:cs="Arial"/>
          <w:highlight w:val="none"/>
          <w:u w:val="single"/>
        </w:rPr>
        <w:t xml:space="preserve">                       </w:t>
      </w:r>
      <w:r>
        <w:rPr>
          <w:rFonts w:ascii="Arial" w:hAnsi="Arial" w:cs="Arial"/>
          <w:highlight w:val="none"/>
        </w:rPr>
        <w:t>（盖单位章）</w:t>
      </w:r>
    </w:p>
    <w:p w14:paraId="7060EEDA">
      <w:pPr>
        <w:ind w:firstLine="480"/>
        <w:jc w:val="center"/>
        <w:rPr>
          <w:rFonts w:ascii="Arial" w:hAnsi="Arial" w:cs="Arial"/>
          <w:highlight w:val="none"/>
        </w:rPr>
      </w:pPr>
      <w:r>
        <w:rPr>
          <w:rFonts w:hint="eastAsia" w:ascii="Arial" w:hAnsi="Arial" w:cs="Arial"/>
          <w:highlight w:val="none"/>
        </w:rPr>
        <w:t xml:space="preserve">                </w:t>
      </w:r>
      <w:r>
        <w:rPr>
          <w:rFonts w:hint="eastAsia" w:ascii="Arial" w:hAnsi="Arial" w:cs="Arial"/>
          <w:highlight w:val="none"/>
          <w:u w:val="single"/>
        </w:rPr>
        <w:t xml:space="preserve">      </w:t>
      </w:r>
      <w:r>
        <w:rPr>
          <w:rFonts w:ascii="Arial" w:hAnsi="Arial" w:cs="Arial"/>
          <w:highlight w:val="none"/>
        </w:rPr>
        <w:t>年</w:t>
      </w:r>
      <w:r>
        <w:rPr>
          <w:rFonts w:ascii="Arial" w:hAnsi="Arial" w:cs="Arial"/>
          <w:highlight w:val="none"/>
          <w:u w:val="single"/>
        </w:rPr>
        <w:t xml:space="preserve"> </w:t>
      </w:r>
      <w:r>
        <w:rPr>
          <w:rFonts w:hint="eastAsia" w:ascii="Arial" w:hAnsi="Arial" w:cs="Arial"/>
          <w:highlight w:val="none"/>
          <w:u w:val="single"/>
        </w:rPr>
        <w:t xml:space="preserve">    </w:t>
      </w:r>
      <w:r>
        <w:rPr>
          <w:rFonts w:ascii="Arial" w:hAnsi="Arial" w:cs="Arial"/>
          <w:highlight w:val="none"/>
        </w:rPr>
        <w:t>月</w:t>
      </w:r>
      <w:r>
        <w:rPr>
          <w:rFonts w:hint="eastAsia" w:ascii="Arial" w:hAnsi="Arial" w:cs="Arial"/>
          <w:highlight w:val="none"/>
          <w:u w:val="single"/>
        </w:rPr>
        <w:t xml:space="preserve">     </w:t>
      </w:r>
      <w:r>
        <w:rPr>
          <w:rFonts w:ascii="Arial" w:hAnsi="Arial" w:cs="Arial"/>
          <w:highlight w:val="none"/>
          <w:u w:val="single"/>
        </w:rPr>
        <w:t xml:space="preserve"> </w:t>
      </w:r>
      <w:r>
        <w:rPr>
          <w:rFonts w:ascii="Arial" w:hAnsi="Arial" w:cs="Arial"/>
          <w:highlight w:val="none"/>
        </w:rPr>
        <w:t>日</w:t>
      </w:r>
    </w:p>
    <w:p w14:paraId="487A1C43">
      <w:pPr>
        <w:topLinePunct/>
        <w:ind w:firstLine="480"/>
        <w:rPr>
          <w:rFonts w:ascii="Arial" w:hAnsi="Arial" w:eastAsia="黑体" w:cs="Arial"/>
          <w:highlight w:val="none"/>
        </w:rPr>
      </w:pPr>
    </w:p>
    <w:p w14:paraId="3FE944D8">
      <w:pPr>
        <w:topLinePunct/>
        <w:ind w:firstLine="480"/>
        <w:rPr>
          <w:rFonts w:ascii="Arial" w:hAnsi="Arial" w:eastAsia="黑体" w:cs="Arial"/>
          <w:highlight w:val="none"/>
        </w:rPr>
      </w:pPr>
    </w:p>
    <w:p w14:paraId="016B5B33">
      <w:pPr>
        <w:topLinePunct/>
        <w:ind w:firstLine="480"/>
        <w:rPr>
          <w:rFonts w:ascii="Arial" w:hAnsi="Arial" w:eastAsia="黑体" w:cs="Arial"/>
          <w:highlight w:val="none"/>
        </w:rPr>
      </w:pPr>
    </w:p>
    <w:p w14:paraId="41A94D76">
      <w:pPr>
        <w:topLinePunct/>
        <w:ind w:firstLine="482"/>
        <w:rPr>
          <w:rFonts w:hAnsi="宋体" w:cs="宋体"/>
          <w:b/>
          <w:szCs w:val="24"/>
          <w:highlight w:val="none"/>
        </w:rPr>
      </w:pPr>
      <w:r>
        <w:rPr>
          <w:rFonts w:hint="eastAsia" w:hAnsi="宋体" w:cs="宋体"/>
          <w:b/>
          <w:szCs w:val="24"/>
          <w:highlight w:val="none"/>
        </w:rPr>
        <w:t>注：1. 法定代表人的签字必须是亲笔签名，不得使用印章、签名章或其他电子制版签名。</w:t>
      </w:r>
    </w:p>
    <w:p w14:paraId="0BA58948">
      <w:pPr>
        <w:topLinePunct/>
        <w:ind w:firstLine="482"/>
        <w:rPr>
          <w:rFonts w:hAnsi="宋体" w:cs="宋体"/>
          <w:b/>
          <w:szCs w:val="24"/>
          <w:highlight w:val="none"/>
        </w:rPr>
      </w:pPr>
      <w:r>
        <w:rPr>
          <w:rFonts w:hint="eastAsia" w:hAnsi="宋体" w:cs="宋体"/>
          <w:b/>
          <w:szCs w:val="24"/>
          <w:highlight w:val="none"/>
        </w:rPr>
        <w:t xml:space="preserve">    2. 如果由比选申请人的法定代表人亲自签署比选申请文件，则不需提交授权委托书。</w:t>
      </w:r>
    </w:p>
    <w:p w14:paraId="1199C656">
      <w:pPr>
        <w:topLinePunct/>
        <w:ind w:left="720" w:firstLine="482"/>
        <w:rPr>
          <w:rFonts w:ascii="Arial" w:hAnsi="Arial" w:cs="Arial"/>
          <w:b/>
          <w:szCs w:val="21"/>
          <w:highlight w:val="none"/>
        </w:rPr>
      </w:pPr>
    </w:p>
    <w:p w14:paraId="1F6BF99A">
      <w:pPr>
        <w:ind w:firstLine="482"/>
        <w:rPr>
          <w:rFonts w:ascii="Arial" w:hAnsi="Arial" w:eastAsia="黑体" w:cs="Arial"/>
          <w:b/>
          <w:szCs w:val="21"/>
          <w:highlight w:val="none"/>
          <w:u w:val="single"/>
        </w:rPr>
      </w:pPr>
    </w:p>
    <w:p w14:paraId="05917FD4">
      <w:pPr>
        <w:pStyle w:val="5"/>
        <w:ind w:firstLine="562"/>
        <w:rPr>
          <w:highlight w:val="none"/>
        </w:rPr>
      </w:pPr>
      <w:r>
        <w:rPr>
          <w:highlight w:val="none"/>
        </w:rPr>
        <w:br w:type="page"/>
      </w:r>
      <w:bookmarkStart w:id="453" w:name="_Toc487650602"/>
      <w:r>
        <w:rPr>
          <w:rFonts w:hint="eastAsia"/>
          <w:highlight w:val="none"/>
        </w:rPr>
        <w:t>3-2</w:t>
      </w:r>
      <w:r>
        <w:rPr>
          <w:highlight w:val="none"/>
        </w:rPr>
        <w:t>授权委托书</w:t>
      </w:r>
      <w:bookmarkEnd w:id="453"/>
    </w:p>
    <w:p w14:paraId="70F45B80">
      <w:pPr>
        <w:ind w:firstLine="199" w:firstLineChars="55"/>
        <w:jc w:val="center"/>
        <w:rPr>
          <w:b/>
          <w:sz w:val="36"/>
          <w:highlight w:val="none"/>
        </w:rPr>
      </w:pPr>
      <w:r>
        <w:rPr>
          <w:b/>
          <w:sz w:val="36"/>
          <w:highlight w:val="none"/>
        </w:rPr>
        <w:t>授权委托书</w:t>
      </w:r>
    </w:p>
    <w:p w14:paraId="1EC5DAE6">
      <w:pPr>
        <w:ind w:firstLine="480"/>
        <w:rPr>
          <w:rFonts w:ascii="Arial" w:hAnsi="Arial" w:cs="Arial"/>
          <w:highlight w:val="none"/>
        </w:rPr>
      </w:pPr>
      <w:r>
        <w:rPr>
          <w:rFonts w:ascii="Arial" w:hAnsi="Arial" w:cs="Arial"/>
          <w:highlight w:val="none"/>
        </w:rPr>
        <w:t>本人</w:t>
      </w:r>
      <w:r>
        <w:rPr>
          <w:rFonts w:hint="eastAsia" w:ascii="Arial" w:hAnsi="Arial" w:cs="Arial"/>
          <w:highlight w:val="none"/>
        </w:rPr>
        <w:t xml:space="preserve"> </w:t>
      </w:r>
      <w:r>
        <w:rPr>
          <w:rFonts w:hint="eastAsia" w:ascii="Arial" w:hAnsi="Arial" w:cs="Arial"/>
          <w:highlight w:val="none"/>
          <w:u w:val="single"/>
        </w:rPr>
        <w:t xml:space="preserve">     </w:t>
      </w:r>
      <w:r>
        <w:rPr>
          <w:rFonts w:ascii="Arial" w:hAnsi="Arial" w:cs="Arial"/>
          <w:highlight w:val="none"/>
        </w:rPr>
        <w:t>（姓名）系</w:t>
      </w:r>
      <w:r>
        <w:rPr>
          <w:rFonts w:hint="eastAsia" w:ascii="Arial" w:hAnsi="Arial" w:cs="Arial"/>
          <w:highlight w:val="none"/>
          <w:u w:val="single"/>
        </w:rPr>
        <w:t xml:space="preserve">            </w:t>
      </w:r>
      <w:r>
        <w:rPr>
          <w:rFonts w:ascii="Arial" w:hAnsi="Arial" w:cs="Arial"/>
          <w:highlight w:val="none"/>
        </w:rPr>
        <w:t>（</w:t>
      </w:r>
      <w:r>
        <w:rPr>
          <w:rFonts w:hint="eastAsia" w:ascii="Arial" w:hAnsi="Arial" w:cs="Arial"/>
          <w:highlight w:val="none"/>
        </w:rPr>
        <w:t>比选申请人</w:t>
      </w:r>
      <w:r>
        <w:rPr>
          <w:rFonts w:ascii="Arial" w:hAnsi="Arial" w:cs="Arial"/>
          <w:highlight w:val="none"/>
        </w:rPr>
        <w:t>名称）的法定代表人，现委托</w:t>
      </w:r>
      <w:r>
        <w:rPr>
          <w:rFonts w:hint="eastAsia" w:ascii="Arial" w:hAnsi="Arial" w:cs="Arial"/>
          <w:highlight w:val="none"/>
          <w:u w:val="single"/>
        </w:rPr>
        <w:t xml:space="preserve">      </w:t>
      </w:r>
      <w:r>
        <w:rPr>
          <w:rFonts w:ascii="Arial" w:hAnsi="Arial" w:cs="Arial"/>
          <w:highlight w:val="none"/>
        </w:rPr>
        <w:t>（姓名）为我方代理人。代理人根据授权，以我方名义签署、澄清、说明、补正、递交、撤回、修改</w:t>
      </w:r>
      <w:r>
        <w:rPr>
          <w:rFonts w:hint="eastAsia" w:ascii="Arial" w:hAnsi="Arial" w:cs="Arial"/>
          <w:highlight w:val="none"/>
          <w:u w:val="single"/>
        </w:rPr>
        <w:t xml:space="preserve">              </w:t>
      </w:r>
      <w:r>
        <w:rPr>
          <w:rFonts w:hint="eastAsia" w:ascii="Arial" w:hAnsi="Arial" w:cs="Arial"/>
          <w:highlight w:val="none"/>
        </w:rPr>
        <w:t>（项目名称）的比选申请</w:t>
      </w:r>
      <w:r>
        <w:rPr>
          <w:rFonts w:ascii="Arial" w:hAnsi="Arial" w:cs="Arial"/>
          <w:highlight w:val="none"/>
        </w:rPr>
        <w:t>文件、签订合同和处理有关事宜，其法律后果由我方承担。</w:t>
      </w:r>
    </w:p>
    <w:p w14:paraId="526CEB89">
      <w:pPr>
        <w:ind w:firstLine="480"/>
        <w:rPr>
          <w:rFonts w:ascii="Arial" w:hAnsi="Arial" w:cs="Arial"/>
          <w:highlight w:val="none"/>
        </w:rPr>
      </w:pPr>
      <w:r>
        <w:rPr>
          <w:rFonts w:ascii="Arial" w:hAnsi="Arial" w:cs="Arial"/>
          <w:highlight w:val="none"/>
        </w:rPr>
        <w:t>委托期限：</w:t>
      </w:r>
      <w:r>
        <w:rPr>
          <w:rFonts w:ascii="Arial" w:hAnsi="Arial" w:cs="Arial"/>
          <w:b/>
          <w:highlight w:val="none"/>
          <w:u w:val="single"/>
        </w:rPr>
        <w:t>自法定代表人在本授权委托书上签字之日起至签订合同协议书止</w:t>
      </w:r>
      <w:r>
        <w:rPr>
          <w:rFonts w:ascii="Arial" w:hAnsi="Arial" w:cs="Arial"/>
          <w:highlight w:val="none"/>
        </w:rPr>
        <w:t>。</w:t>
      </w:r>
    </w:p>
    <w:p w14:paraId="38AC7BFA">
      <w:pPr>
        <w:ind w:firstLine="480"/>
        <w:rPr>
          <w:rFonts w:ascii="Arial" w:hAnsi="Arial" w:cs="Arial"/>
          <w:highlight w:val="none"/>
        </w:rPr>
      </w:pPr>
      <w:r>
        <w:rPr>
          <w:rFonts w:ascii="Arial" w:hAnsi="Arial" w:cs="Arial"/>
          <w:highlight w:val="none"/>
        </w:rPr>
        <w:t>代理人无转委托权。</w:t>
      </w:r>
    </w:p>
    <w:p w14:paraId="47187561">
      <w:pPr>
        <w:ind w:firstLine="480"/>
        <w:rPr>
          <w:rFonts w:ascii="Arial" w:hAnsi="Arial" w:eastAsia="黑体" w:cs="Arial"/>
          <w:highlight w:val="none"/>
        </w:rPr>
      </w:pPr>
      <w:r>
        <w:rPr>
          <w:rFonts w:ascii="Arial" w:hAnsi="Arial" w:eastAsia="黑体" w:cs="Arial"/>
          <w:highlight w:val="none"/>
        </w:rPr>
        <w:t>附：法定代表人</w:t>
      </w:r>
      <w:r>
        <w:rPr>
          <w:rFonts w:hint="eastAsia" w:ascii="Arial" w:hAnsi="Arial" w:eastAsia="黑体" w:cs="Arial"/>
          <w:highlight w:val="none"/>
        </w:rPr>
        <w:t>及委托代理人</w:t>
      </w:r>
      <w:r>
        <w:rPr>
          <w:rFonts w:ascii="Arial" w:hAnsi="Arial" w:eastAsia="黑体" w:cs="Arial"/>
          <w:highlight w:val="none"/>
        </w:rPr>
        <w:t>身份证明</w:t>
      </w:r>
      <w:r>
        <w:rPr>
          <w:rFonts w:hint="eastAsia" w:ascii="Arial" w:hAnsi="Arial" w:eastAsia="黑体" w:cs="Arial"/>
          <w:highlight w:val="none"/>
        </w:rPr>
        <w:t>（身份证正反面）</w:t>
      </w:r>
    </w:p>
    <w:p w14:paraId="31C4DFC6">
      <w:pPr>
        <w:ind w:firstLine="480"/>
        <w:rPr>
          <w:rFonts w:ascii="Arial" w:hAnsi="Arial" w:eastAsia="黑体" w:cs="Arial"/>
          <w:highlight w:val="none"/>
        </w:rPr>
      </w:pPr>
    </w:p>
    <w:p w14:paraId="557E7508">
      <w:pPr>
        <w:ind w:left="3115" w:leftChars="1298" w:firstLine="480" w:firstLineChars="0"/>
        <w:jc w:val="left"/>
        <w:rPr>
          <w:rFonts w:ascii="Arial" w:hAnsi="Arial" w:cs="Arial"/>
          <w:highlight w:val="none"/>
        </w:rPr>
      </w:pPr>
      <w:r>
        <w:rPr>
          <w:rFonts w:hint="eastAsia" w:ascii="Arial" w:hAnsi="Arial" w:cs="Arial"/>
          <w:highlight w:val="none"/>
        </w:rPr>
        <w:t>比选申请人</w:t>
      </w:r>
      <w:r>
        <w:rPr>
          <w:rFonts w:ascii="Arial" w:hAnsi="Arial" w:cs="Arial"/>
          <w:highlight w:val="none"/>
        </w:rPr>
        <w:t>：</w:t>
      </w:r>
      <w:r>
        <w:rPr>
          <w:rFonts w:hint="eastAsia" w:ascii="Arial" w:hAnsi="Arial" w:cs="Arial"/>
          <w:highlight w:val="none"/>
          <w:u w:val="single"/>
        </w:rPr>
        <w:t xml:space="preserve">                               </w:t>
      </w:r>
      <w:r>
        <w:rPr>
          <w:rFonts w:ascii="Arial" w:hAnsi="Arial" w:cs="Arial"/>
          <w:highlight w:val="none"/>
        </w:rPr>
        <w:t>（盖单位章）</w:t>
      </w:r>
    </w:p>
    <w:p w14:paraId="79A3D68B">
      <w:pPr>
        <w:ind w:left="3115" w:leftChars="1298" w:firstLine="480" w:firstLineChars="0"/>
        <w:jc w:val="left"/>
        <w:rPr>
          <w:rFonts w:ascii="Arial" w:hAnsi="Arial" w:cs="Arial"/>
          <w:highlight w:val="none"/>
        </w:rPr>
      </w:pPr>
      <w:r>
        <w:rPr>
          <w:rFonts w:ascii="Arial" w:hAnsi="Arial" w:cs="Arial"/>
          <w:highlight w:val="none"/>
        </w:rPr>
        <w:t>法定代表人：</w:t>
      </w:r>
      <w:r>
        <w:rPr>
          <w:rFonts w:ascii="Arial" w:hAnsi="Arial" w:cs="Arial"/>
          <w:highlight w:val="none"/>
          <w:u w:val="single"/>
        </w:rPr>
        <w:t xml:space="preserve">                          </w:t>
      </w:r>
      <w:r>
        <w:rPr>
          <w:rFonts w:ascii="Arial" w:hAnsi="Arial" w:cs="Arial"/>
          <w:highlight w:val="none"/>
        </w:rPr>
        <w:t>（签字）</w:t>
      </w:r>
    </w:p>
    <w:p w14:paraId="0B297E38">
      <w:pPr>
        <w:ind w:left="3115" w:leftChars="1298" w:firstLine="480" w:firstLineChars="0"/>
        <w:rPr>
          <w:rFonts w:ascii="Arial" w:hAnsi="Arial" w:cs="Arial"/>
          <w:highlight w:val="none"/>
        </w:rPr>
      </w:pPr>
      <w:r>
        <w:rPr>
          <w:rFonts w:ascii="Arial" w:hAnsi="Arial" w:cs="Arial"/>
          <w:highlight w:val="none"/>
        </w:rPr>
        <w:t>身份证号码：</w:t>
      </w:r>
      <w:r>
        <w:rPr>
          <w:rFonts w:ascii="Arial" w:hAnsi="Arial" w:cs="Arial"/>
          <w:highlight w:val="none"/>
          <w:u w:val="single"/>
        </w:rPr>
        <w:t xml:space="preserve">     </w:t>
      </w:r>
      <w:r>
        <w:rPr>
          <w:rFonts w:hint="eastAsia" w:ascii="Arial" w:hAnsi="Arial" w:cs="Arial"/>
          <w:highlight w:val="none"/>
          <w:u w:val="single"/>
        </w:rPr>
        <w:t xml:space="preserve">                       </w:t>
      </w:r>
      <w:r>
        <w:rPr>
          <w:rFonts w:ascii="Arial" w:hAnsi="Arial" w:cs="Arial"/>
          <w:highlight w:val="none"/>
          <w:u w:val="single"/>
        </w:rPr>
        <w:t xml:space="preserve">  </w:t>
      </w:r>
    </w:p>
    <w:p w14:paraId="53560702">
      <w:pPr>
        <w:ind w:left="3115" w:leftChars="1298" w:firstLine="480" w:firstLineChars="0"/>
        <w:jc w:val="left"/>
        <w:rPr>
          <w:rFonts w:ascii="Arial" w:hAnsi="Arial" w:cs="Arial"/>
          <w:highlight w:val="none"/>
        </w:rPr>
      </w:pPr>
      <w:r>
        <w:rPr>
          <w:rFonts w:ascii="Arial" w:hAnsi="Arial" w:cs="Arial"/>
          <w:highlight w:val="none"/>
        </w:rPr>
        <w:t>委托代理人：</w:t>
      </w:r>
      <w:r>
        <w:rPr>
          <w:rFonts w:ascii="Arial" w:hAnsi="Arial" w:cs="Arial"/>
          <w:highlight w:val="none"/>
          <w:u w:val="single"/>
        </w:rPr>
        <w:t xml:space="preserve">                          </w:t>
      </w:r>
      <w:r>
        <w:rPr>
          <w:rFonts w:hint="eastAsia" w:ascii="Arial" w:hAnsi="Arial" w:cs="Arial"/>
          <w:highlight w:val="none"/>
          <w:u w:val="single"/>
        </w:rPr>
        <w:t xml:space="preserve"> </w:t>
      </w:r>
      <w:r>
        <w:rPr>
          <w:rFonts w:ascii="Arial" w:hAnsi="Arial" w:cs="Arial"/>
          <w:highlight w:val="none"/>
          <w:u w:val="single"/>
        </w:rPr>
        <w:t xml:space="preserve">  </w:t>
      </w:r>
      <w:r>
        <w:rPr>
          <w:rFonts w:ascii="Arial" w:hAnsi="Arial" w:cs="Arial"/>
          <w:highlight w:val="none"/>
        </w:rPr>
        <w:t>（签字）</w:t>
      </w:r>
    </w:p>
    <w:p w14:paraId="711C865E">
      <w:pPr>
        <w:tabs>
          <w:tab w:val="left" w:pos="8820"/>
        </w:tabs>
        <w:ind w:left="3115" w:leftChars="1298" w:firstLine="480" w:firstLineChars="0"/>
        <w:rPr>
          <w:rFonts w:ascii="Arial" w:hAnsi="Arial" w:cs="Arial"/>
          <w:highlight w:val="none"/>
        </w:rPr>
      </w:pPr>
      <w:r>
        <w:rPr>
          <w:rFonts w:ascii="Arial" w:hAnsi="Arial" w:cs="Arial"/>
          <w:highlight w:val="none"/>
        </w:rPr>
        <w:t>身份证号码：</w:t>
      </w:r>
      <w:r>
        <w:rPr>
          <w:rFonts w:ascii="Arial" w:hAnsi="Arial" w:cs="Arial"/>
          <w:highlight w:val="none"/>
          <w:u w:val="single"/>
        </w:rPr>
        <w:t xml:space="preserve">  </w:t>
      </w:r>
      <w:r>
        <w:rPr>
          <w:rFonts w:hint="eastAsia" w:ascii="Arial" w:hAnsi="Arial" w:cs="Arial"/>
          <w:highlight w:val="none"/>
          <w:u w:val="single"/>
        </w:rPr>
        <w:t xml:space="preserve"> </w:t>
      </w:r>
      <w:r>
        <w:rPr>
          <w:rFonts w:ascii="Arial" w:hAnsi="Arial" w:cs="Arial"/>
          <w:highlight w:val="none"/>
          <w:u w:val="single"/>
        </w:rPr>
        <w:t xml:space="preserve">  </w:t>
      </w:r>
      <w:r>
        <w:rPr>
          <w:rFonts w:hint="eastAsia" w:ascii="Arial" w:hAnsi="Arial" w:cs="Arial"/>
          <w:highlight w:val="none"/>
          <w:u w:val="single"/>
        </w:rPr>
        <w:t xml:space="preserve">                         </w:t>
      </w:r>
    </w:p>
    <w:p w14:paraId="38675580">
      <w:pPr>
        <w:ind w:firstLine="480"/>
        <w:rPr>
          <w:rFonts w:ascii="Arial" w:hAnsi="Arial" w:cs="Arial"/>
          <w:highlight w:val="none"/>
        </w:rPr>
      </w:pPr>
    </w:p>
    <w:p w14:paraId="392B5C94">
      <w:pPr>
        <w:ind w:left="3360" w:firstLine="480"/>
        <w:jc w:val="center"/>
        <w:rPr>
          <w:rFonts w:ascii="Arial" w:hAnsi="Arial" w:cs="Arial"/>
          <w:highlight w:val="none"/>
        </w:rPr>
      </w:pPr>
      <w:r>
        <w:rPr>
          <w:rFonts w:hint="eastAsia" w:ascii="Arial" w:hAnsi="Arial" w:cs="Arial"/>
          <w:highlight w:val="none"/>
          <w:u w:val="single"/>
        </w:rPr>
        <w:t xml:space="preserve">      </w:t>
      </w:r>
      <w:r>
        <w:rPr>
          <w:rFonts w:ascii="Arial" w:hAnsi="Arial" w:cs="Arial"/>
          <w:highlight w:val="none"/>
        </w:rPr>
        <w:t>年</w:t>
      </w:r>
      <w:r>
        <w:rPr>
          <w:rFonts w:hint="eastAsia" w:ascii="Arial" w:hAnsi="Arial" w:cs="Arial"/>
          <w:highlight w:val="none"/>
          <w:u w:val="single"/>
        </w:rPr>
        <w:t xml:space="preserve">       </w:t>
      </w:r>
      <w:r>
        <w:rPr>
          <w:rFonts w:ascii="Arial" w:hAnsi="Arial" w:cs="Arial"/>
          <w:highlight w:val="none"/>
        </w:rPr>
        <w:t>月</w:t>
      </w:r>
      <w:r>
        <w:rPr>
          <w:rFonts w:hint="eastAsia" w:ascii="Arial" w:hAnsi="Arial" w:cs="Arial"/>
          <w:highlight w:val="none"/>
          <w:u w:val="single"/>
        </w:rPr>
        <w:t xml:space="preserve">      </w:t>
      </w:r>
      <w:r>
        <w:rPr>
          <w:rFonts w:ascii="Arial" w:hAnsi="Arial" w:cs="Arial"/>
          <w:highlight w:val="none"/>
        </w:rPr>
        <w:t>日</w:t>
      </w:r>
    </w:p>
    <w:p w14:paraId="26C9F402">
      <w:pPr>
        <w:ind w:firstLine="480"/>
        <w:rPr>
          <w:rFonts w:ascii="Arial" w:hAnsi="Arial" w:cs="Arial"/>
          <w:highlight w:val="none"/>
        </w:rPr>
      </w:pPr>
    </w:p>
    <w:p w14:paraId="167552E1">
      <w:pPr>
        <w:ind w:firstLine="480"/>
        <w:rPr>
          <w:rFonts w:ascii="Arial" w:hAnsi="Arial" w:cs="Arial"/>
          <w:highlight w:val="none"/>
        </w:rPr>
      </w:pPr>
    </w:p>
    <w:p w14:paraId="24D91C17">
      <w:pPr>
        <w:topLinePunct/>
        <w:ind w:firstLine="482"/>
        <w:rPr>
          <w:rFonts w:hAnsi="宋体" w:cs="宋体"/>
          <w:b/>
          <w:szCs w:val="24"/>
          <w:highlight w:val="none"/>
        </w:rPr>
      </w:pPr>
      <w:r>
        <w:rPr>
          <w:rFonts w:hint="eastAsia" w:hAnsi="宋体" w:cs="宋体"/>
          <w:b/>
          <w:szCs w:val="24"/>
          <w:highlight w:val="none"/>
        </w:rPr>
        <w:t>注：</w:t>
      </w:r>
    </w:p>
    <w:p w14:paraId="11A0A8FC">
      <w:pPr>
        <w:topLinePunct/>
        <w:ind w:firstLine="482"/>
        <w:rPr>
          <w:rFonts w:hAnsi="宋体" w:cs="宋体"/>
          <w:b/>
          <w:szCs w:val="24"/>
          <w:highlight w:val="none"/>
        </w:rPr>
      </w:pPr>
      <w:r>
        <w:rPr>
          <w:rFonts w:hint="eastAsia" w:hAnsi="宋体" w:cs="宋体"/>
          <w:b/>
          <w:szCs w:val="24"/>
          <w:highlight w:val="none"/>
        </w:rPr>
        <w:t>1. 法定代表人的签字必须是亲笔签名，不得使用印章、签名章或其他电子制版签名。</w:t>
      </w:r>
    </w:p>
    <w:p w14:paraId="53871336">
      <w:pPr>
        <w:topLinePunct/>
        <w:ind w:firstLine="482"/>
        <w:rPr>
          <w:b/>
          <w:highlight w:val="none"/>
        </w:rPr>
      </w:pPr>
      <w:r>
        <w:rPr>
          <w:rFonts w:hint="eastAsia" w:hAnsi="宋体" w:cs="宋体"/>
          <w:b/>
          <w:szCs w:val="24"/>
          <w:highlight w:val="none"/>
        </w:rPr>
        <w:t>2. 如果由比选申请人的法定代表人亲自签署比选申请文件，则不需提交授权委托书。</w:t>
      </w:r>
    </w:p>
    <w:p w14:paraId="1593FA45">
      <w:pPr>
        <w:pStyle w:val="3"/>
        <w:rPr>
          <w:highlight w:val="none"/>
        </w:rPr>
      </w:pPr>
      <w:r>
        <w:rPr>
          <w:highlight w:val="none"/>
        </w:rPr>
        <w:br w:type="page"/>
      </w:r>
      <w:bookmarkStart w:id="454" w:name="_Toc12509"/>
      <w:bookmarkStart w:id="455" w:name="_Toc7992"/>
      <w:bookmarkStart w:id="456" w:name="_Toc2042"/>
      <w:bookmarkStart w:id="457" w:name="_Toc16346"/>
      <w:bookmarkStart w:id="458" w:name="_Toc23544"/>
      <w:bookmarkStart w:id="459" w:name="_Toc10630"/>
      <w:bookmarkStart w:id="460" w:name="_Toc487650603"/>
      <w:bookmarkStart w:id="461" w:name="_Toc12288"/>
      <w:bookmarkStart w:id="462" w:name="_Toc5843"/>
      <w:bookmarkStart w:id="463" w:name="_Toc11094"/>
      <w:r>
        <w:rPr>
          <w:rFonts w:hint="eastAsia"/>
          <w:highlight w:val="none"/>
        </w:rPr>
        <w:t>四、比选申请保证金</w:t>
      </w:r>
      <w:bookmarkEnd w:id="454"/>
      <w:bookmarkEnd w:id="455"/>
      <w:bookmarkEnd w:id="456"/>
      <w:bookmarkEnd w:id="457"/>
      <w:bookmarkEnd w:id="458"/>
      <w:bookmarkEnd w:id="459"/>
      <w:bookmarkEnd w:id="460"/>
      <w:bookmarkEnd w:id="461"/>
      <w:bookmarkEnd w:id="462"/>
      <w:bookmarkEnd w:id="463"/>
    </w:p>
    <w:p w14:paraId="3EC8543A">
      <w:pPr>
        <w:ind w:left="974" w:firstLine="199" w:firstLineChars="55"/>
        <w:jc w:val="center"/>
        <w:rPr>
          <w:b/>
          <w:sz w:val="36"/>
          <w:highlight w:val="none"/>
        </w:rPr>
      </w:pPr>
      <w:r>
        <w:rPr>
          <w:rFonts w:hint="eastAsia"/>
          <w:b/>
          <w:sz w:val="36"/>
          <w:highlight w:val="none"/>
        </w:rPr>
        <w:t>比选申请保证金</w:t>
      </w:r>
    </w:p>
    <w:p w14:paraId="22F0CF19">
      <w:pPr>
        <w:ind w:firstLine="480"/>
        <w:rPr>
          <w:rFonts w:hAnsi="宋体" w:cs="Arial"/>
          <w:highlight w:val="none"/>
          <w:u w:val="single"/>
        </w:rPr>
      </w:pPr>
      <w:r>
        <w:rPr>
          <w:rFonts w:hAnsi="宋体" w:cs="Arial"/>
          <w:highlight w:val="none"/>
        </w:rPr>
        <w:t>致：</w:t>
      </w:r>
      <w:r>
        <w:rPr>
          <w:rFonts w:hint="eastAsia" w:hAnsi="宋体" w:cs="Arial"/>
          <w:highlight w:val="none"/>
          <w:u w:val="single"/>
        </w:rPr>
        <w:t xml:space="preserve">                      </w:t>
      </w:r>
      <w:r>
        <w:rPr>
          <w:rFonts w:hint="eastAsia" w:hAnsi="宋体" w:cs="Arial"/>
          <w:highlight w:val="none"/>
        </w:rPr>
        <w:t>（比选人）</w:t>
      </w:r>
    </w:p>
    <w:p w14:paraId="619DE68B">
      <w:pPr>
        <w:ind w:firstLine="480"/>
        <w:rPr>
          <w:rFonts w:hAnsi="宋体" w:cs="Arial"/>
          <w:highlight w:val="none"/>
        </w:rPr>
      </w:pPr>
      <w:r>
        <w:rPr>
          <w:rFonts w:hAnsi="宋体" w:cs="Arial"/>
          <w:highlight w:val="none"/>
        </w:rPr>
        <w:t>我方按</w:t>
      </w:r>
      <w:r>
        <w:rPr>
          <w:rFonts w:hint="eastAsia" w:hAnsi="宋体" w:cs="Arial"/>
          <w:highlight w:val="none"/>
        </w:rPr>
        <w:t>比选</w:t>
      </w:r>
      <w:r>
        <w:rPr>
          <w:rFonts w:hAnsi="宋体" w:cs="Arial"/>
          <w:highlight w:val="none"/>
        </w:rPr>
        <w:t>文件</w:t>
      </w:r>
      <w:r>
        <w:rPr>
          <w:rFonts w:hint="eastAsia" w:hAnsi="宋体" w:cs="Arial"/>
          <w:highlight w:val="none"/>
        </w:rPr>
        <w:t>比选申请人</w:t>
      </w:r>
      <w:r>
        <w:rPr>
          <w:rFonts w:hAnsi="宋体" w:cs="Arial"/>
          <w:highlight w:val="none"/>
        </w:rPr>
        <w:t>须知规定，已于</w:t>
      </w:r>
      <w:r>
        <w:rPr>
          <w:rFonts w:hint="eastAsia" w:hAnsi="宋体" w:cs="Arial"/>
          <w:highlight w:val="none"/>
          <w:u w:val="single"/>
        </w:rPr>
        <w:t xml:space="preserve">    </w:t>
      </w:r>
      <w:r>
        <w:rPr>
          <w:rFonts w:hAnsi="宋体" w:cs="Arial"/>
          <w:highlight w:val="none"/>
        </w:rPr>
        <w:t>年</w:t>
      </w:r>
      <w:r>
        <w:rPr>
          <w:rFonts w:hint="eastAsia" w:hAnsi="宋体" w:cs="Arial"/>
          <w:highlight w:val="none"/>
          <w:u w:val="single"/>
        </w:rPr>
        <w:t xml:space="preserve">    </w:t>
      </w:r>
      <w:r>
        <w:rPr>
          <w:rFonts w:hAnsi="宋体" w:cs="Arial"/>
          <w:highlight w:val="none"/>
        </w:rPr>
        <w:t>月</w:t>
      </w:r>
      <w:r>
        <w:rPr>
          <w:rFonts w:hint="eastAsia" w:hAnsi="宋体" w:cs="Arial"/>
          <w:highlight w:val="none"/>
          <w:u w:val="single"/>
        </w:rPr>
        <w:t xml:space="preserve">    </w:t>
      </w:r>
      <w:r>
        <w:rPr>
          <w:rFonts w:hAnsi="宋体" w:cs="Arial"/>
          <w:highlight w:val="none"/>
        </w:rPr>
        <w:t>日采用</w:t>
      </w:r>
      <w:r>
        <w:rPr>
          <w:rFonts w:hint="eastAsia" w:hAnsi="宋体" w:cs="Arial"/>
          <w:highlight w:val="none"/>
        </w:rPr>
        <w:t>银行转账</w:t>
      </w:r>
      <w:r>
        <w:rPr>
          <w:rFonts w:hAnsi="宋体" w:cs="Arial"/>
          <w:highlight w:val="none"/>
        </w:rPr>
        <w:t>方式向你方递交了金额为人民币</w:t>
      </w:r>
      <w:r>
        <w:rPr>
          <w:rFonts w:hAnsi="宋体" w:cs="Arial"/>
          <w:highlight w:val="none"/>
          <w:u w:val="single"/>
        </w:rPr>
        <w:t xml:space="preserve">  </w:t>
      </w:r>
      <w:r>
        <w:rPr>
          <w:rFonts w:hint="eastAsia" w:hAnsi="宋体" w:cs="Arial"/>
          <w:highlight w:val="none"/>
          <w:u w:val="single"/>
        </w:rPr>
        <w:t xml:space="preserve">  </w:t>
      </w:r>
      <w:r>
        <w:rPr>
          <w:rFonts w:hint="eastAsia" w:hAnsi="宋体" w:cs="Arial"/>
          <w:highlight w:val="none"/>
          <w:u w:val="single"/>
          <w:lang w:val="en-US" w:eastAsia="zh-CN"/>
        </w:rPr>
        <w:t xml:space="preserve">   </w:t>
      </w:r>
      <w:r>
        <w:rPr>
          <w:rFonts w:hAnsi="宋体" w:cs="Arial"/>
          <w:highlight w:val="none"/>
        </w:rPr>
        <w:t>元</w:t>
      </w:r>
      <w:r>
        <w:rPr>
          <w:rFonts w:hint="eastAsia" w:hAnsi="宋体" w:cs="Arial"/>
          <w:highlight w:val="none"/>
        </w:rPr>
        <w:t>（大写</w:t>
      </w:r>
      <w:r>
        <w:rPr>
          <w:rFonts w:hint="eastAsia" w:hAnsi="宋体" w:cs="Arial"/>
          <w:highlight w:val="none"/>
          <w:lang w:eastAsia="zh-CN"/>
        </w:rPr>
        <w:t>：</w:t>
      </w:r>
      <w:r>
        <w:rPr>
          <w:rFonts w:hint="eastAsia" w:hAnsi="宋体" w:cs="Arial"/>
          <w:highlight w:val="none"/>
          <w:u w:val="single"/>
          <w:lang w:val="en-US" w:eastAsia="zh-CN"/>
        </w:rPr>
        <w:t xml:space="preserve">         </w:t>
      </w:r>
      <w:r>
        <w:rPr>
          <w:rFonts w:hint="eastAsia" w:hAnsi="宋体" w:cs="Arial"/>
          <w:highlight w:val="none"/>
          <w:u w:val="none"/>
          <w:lang w:val="en-US" w:eastAsia="zh-CN"/>
        </w:rPr>
        <w:t>）</w:t>
      </w:r>
      <w:r>
        <w:rPr>
          <w:rFonts w:hAnsi="宋体" w:cs="Arial"/>
          <w:highlight w:val="none"/>
        </w:rPr>
        <w:t>的</w:t>
      </w:r>
      <w:r>
        <w:rPr>
          <w:rFonts w:hint="eastAsia" w:hAnsi="宋体" w:cs="Arial"/>
          <w:highlight w:val="none"/>
        </w:rPr>
        <w:t>比选申请保证金</w:t>
      </w:r>
      <w:r>
        <w:rPr>
          <w:rFonts w:hAnsi="宋体" w:cs="Arial"/>
          <w:highlight w:val="none"/>
        </w:rPr>
        <w:t>，请你方予以核实。</w:t>
      </w:r>
    </w:p>
    <w:p w14:paraId="662D1F39">
      <w:pPr>
        <w:ind w:firstLine="482"/>
        <w:rPr>
          <w:rFonts w:hAnsi="宋体" w:cs="Arial"/>
          <w:b/>
          <w:highlight w:val="none"/>
        </w:rPr>
      </w:pPr>
      <w:r>
        <w:rPr>
          <w:rFonts w:hint="eastAsia" w:hAnsi="宋体" w:cs="Arial"/>
          <w:b/>
          <w:highlight w:val="none"/>
        </w:rPr>
        <w:t>（注：</w:t>
      </w:r>
      <w:r>
        <w:rPr>
          <w:rFonts w:hint="eastAsia"/>
          <w:b/>
          <w:szCs w:val="24"/>
          <w:highlight w:val="none"/>
        </w:rPr>
        <w:t>提供转账回单复印件或银行回执或比选人开具的收据</w:t>
      </w:r>
      <w:r>
        <w:rPr>
          <w:rFonts w:hint="eastAsia" w:hAnsi="宋体" w:cs="Arial"/>
          <w:b/>
          <w:highlight w:val="none"/>
        </w:rPr>
        <w:t>）</w:t>
      </w:r>
    </w:p>
    <w:p w14:paraId="61458760">
      <w:pPr>
        <w:adjustRightInd w:val="0"/>
        <w:snapToGrid w:val="0"/>
        <w:ind w:left="914" w:firstLine="643"/>
        <w:jc w:val="center"/>
        <w:rPr>
          <w:rFonts w:hAnsi="宋体"/>
          <w:b/>
          <w:sz w:val="32"/>
          <w:szCs w:val="32"/>
          <w:highlight w:val="none"/>
        </w:rPr>
      </w:pPr>
    </w:p>
    <w:p w14:paraId="4AC80F9F">
      <w:pPr>
        <w:adjustRightInd w:val="0"/>
        <w:snapToGrid w:val="0"/>
        <w:ind w:left="914" w:firstLine="643"/>
        <w:jc w:val="center"/>
        <w:rPr>
          <w:rFonts w:hAnsi="宋体"/>
          <w:b/>
          <w:sz w:val="32"/>
          <w:szCs w:val="32"/>
          <w:highlight w:val="none"/>
        </w:rPr>
      </w:pPr>
    </w:p>
    <w:p w14:paraId="02F1A55F">
      <w:pPr>
        <w:ind w:firstLine="480"/>
        <w:jc w:val="right"/>
        <w:rPr>
          <w:rFonts w:hAnsi="宋体" w:cs="Arial"/>
          <w:highlight w:val="none"/>
        </w:rPr>
      </w:pPr>
      <w:r>
        <w:rPr>
          <w:rFonts w:hint="eastAsia" w:hAnsi="宋体" w:cs="Arial"/>
          <w:highlight w:val="none"/>
        </w:rPr>
        <w:t>比选申请</w:t>
      </w:r>
      <w:r>
        <w:rPr>
          <w:rFonts w:hAnsi="宋体" w:cs="Arial"/>
          <w:highlight w:val="none"/>
        </w:rPr>
        <w:t>人：</w:t>
      </w:r>
      <w:r>
        <w:rPr>
          <w:rFonts w:hint="eastAsia" w:hAnsi="宋体" w:cs="Arial"/>
          <w:highlight w:val="none"/>
          <w:u w:val="single"/>
        </w:rPr>
        <w:t xml:space="preserve">          </w:t>
      </w:r>
      <w:bookmarkStart w:id="464" w:name="_Toc482004203"/>
      <w:r>
        <w:rPr>
          <w:rFonts w:hint="eastAsia" w:hAnsi="宋体" w:cs="Arial"/>
          <w:highlight w:val="none"/>
          <w:u w:val="single"/>
        </w:rPr>
        <w:t xml:space="preserve">        </w:t>
      </w:r>
      <w:bookmarkEnd w:id="464"/>
      <w:r>
        <w:rPr>
          <w:rFonts w:hint="eastAsia" w:hAnsi="宋体" w:cs="Arial"/>
          <w:highlight w:val="none"/>
          <w:u w:val="single"/>
        </w:rPr>
        <w:t xml:space="preserve">           </w:t>
      </w:r>
      <w:r>
        <w:rPr>
          <w:rFonts w:hAnsi="宋体" w:cs="Arial"/>
          <w:highlight w:val="none"/>
        </w:rPr>
        <w:t>（盖单位章）</w:t>
      </w:r>
    </w:p>
    <w:p w14:paraId="15A849FA">
      <w:pPr>
        <w:ind w:firstLine="480"/>
        <w:jc w:val="right"/>
        <w:rPr>
          <w:rFonts w:hAnsi="宋体" w:cs="Arial"/>
          <w:highlight w:val="none"/>
        </w:rPr>
      </w:pPr>
      <w:r>
        <w:rPr>
          <w:rFonts w:hAnsi="宋体" w:cs="Arial"/>
          <w:highlight w:val="none"/>
        </w:rPr>
        <w:t>法定代表人或其委托代理人：</w:t>
      </w:r>
      <w:r>
        <w:rPr>
          <w:rFonts w:hAnsi="宋体" w:cs="Arial"/>
          <w:highlight w:val="none"/>
          <w:u w:val="single"/>
        </w:rPr>
        <w:t xml:space="preserve">         </w:t>
      </w:r>
      <w:r>
        <w:rPr>
          <w:rFonts w:hint="eastAsia" w:hAnsi="宋体" w:cs="Arial"/>
          <w:highlight w:val="none"/>
          <w:u w:val="single"/>
        </w:rPr>
        <w:t xml:space="preserve">   </w:t>
      </w:r>
      <w:r>
        <w:rPr>
          <w:rFonts w:hAnsi="宋体" w:cs="Arial"/>
          <w:highlight w:val="none"/>
          <w:u w:val="single"/>
        </w:rPr>
        <w:t xml:space="preserve">     </w:t>
      </w:r>
      <w:r>
        <w:rPr>
          <w:rFonts w:hAnsi="宋体" w:cs="Arial"/>
          <w:highlight w:val="none"/>
        </w:rPr>
        <w:t>（签字）</w:t>
      </w:r>
    </w:p>
    <w:p w14:paraId="35F187F1">
      <w:pPr>
        <w:pStyle w:val="3"/>
        <w:rPr>
          <w:highlight w:val="none"/>
        </w:rPr>
      </w:pPr>
      <w:r>
        <w:rPr>
          <w:highlight w:val="none"/>
        </w:rPr>
        <w:br w:type="page"/>
      </w:r>
      <w:bookmarkStart w:id="465" w:name="_Toc17792"/>
      <w:bookmarkStart w:id="466" w:name="_Toc27021"/>
      <w:bookmarkStart w:id="467" w:name="_Toc25029"/>
      <w:bookmarkStart w:id="468" w:name="_Toc7126"/>
      <w:bookmarkStart w:id="469" w:name="_Toc24992"/>
      <w:bookmarkStart w:id="470" w:name="_Toc11525"/>
      <w:bookmarkStart w:id="471" w:name="_Toc15804"/>
      <w:bookmarkStart w:id="472" w:name="_Toc487650604"/>
      <w:bookmarkStart w:id="473" w:name="_Toc12429"/>
      <w:bookmarkStart w:id="474" w:name="_Toc22769"/>
      <w:r>
        <w:rPr>
          <w:rFonts w:hint="eastAsia"/>
          <w:highlight w:val="none"/>
        </w:rPr>
        <w:t>五、资格证明文件</w:t>
      </w:r>
      <w:bookmarkEnd w:id="465"/>
      <w:bookmarkEnd w:id="466"/>
      <w:bookmarkEnd w:id="467"/>
      <w:bookmarkEnd w:id="468"/>
      <w:bookmarkEnd w:id="469"/>
      <w:bookmarkEnd w:id="470"/>
      <w:bookmarkEnd w:id="471"/>
      <w:bookmarkEnd w:id="472"/>
      <w:bookmarkEnd w:id="473"/>
      <w:bookmarkEnd w:id="474"/>
    </w:p>
    <w:p w14:paraId="354D0CAC">
      <w:pPr>
        <w:pStyle w:val="119"/>
        <w:ind w:firstLine="480"/>
        <w:rPr>
          <w:szCs w:val="24"/>
          <w:highlight w:val="none"/>
        </w:rPr>
      </w:pPr>
      <w:r>
        <w:rPr>
          <w:rFonts w:hint="eastAsia"/>
          <w:szCs w:val="24"/>
          <w:highlight w:val="none"/>
        </w:rPr>
        <w:t>比选申请人参加本次比选申请必须提供以下资格证明文件：</w:t>
      </w:r>
    </w:p>
    <w:p w14:paraId="6BDB8F8D">
      <w:pPr>
        <w:pStyle w:val="42"/>
        <w:ind w:firstLine="480"/>
        <w:rPr>
          <w:rFonts w:ascii="Times New Roman" w:hAnsi="Times New Roman"/>
          <w:sz w:val="24"/>
          <w:highlight w:val="none"/>
        </w:rPr>
      </w:pPr>
      <w:r>
        <w:rPr>
          <w:rFonts w:hint="eastAsia" w:ascii="Times New Roman" w:hAnsi="Times New Roman"/>
          <w:sz w:val="24"/>
          <w:highlight w:val="none"/>
        </w:rPr>
        <w:t>1、须具有独立法人资格，并持有工商行政主管部门核发的有效企业法人营业执照或事业单位法人证书；</w:t>
      </w:r>
    </w:p>
    <w:p w14:paraId="56AAAE28">
      <w:pPr>
        <w:pStyle w:val="42"/>
        <w:ind w:firstLine="480"/>
        <w:rPr>
          <w:rFonts w:ascii="Times New Roman" w:hAnsi="Times New Roman"/>
          <w:sz w:val="24"/>
          <w:highlight w:val="none"/>
        </w:rPr>
      </w:pPr>
      <w:r>
        <w:rPr>
          <w:rFonts w:hint="eastAsia" w:ascii="Times New Roman" w:hAnsi="Times New Roman"/>
          <w:sz w:val="24"/>
          <w:highlight w:val="none"/>
        </w:rPr>
        <w:t>2、须具备中国网络安全审查技术与认证中心（CCRC，原中国信息安全认证中心）颁发的《信息安全服务资质认证证书（信息安全风险评估三级服务资质）》及以上证书；核心设备须提供设备生产厂商针对本项目的授权函。</w:t>
      </w:r>
    </w:p>
    <w:p w14:paraId="12C6681D">
      <w:pPr>
        <w:pStyle w:val="42"/>
        <w:ind w:firstLine="480"/>
        <w:rPr>
          <w:rFonts w:ascii="Times New Roman" w:hAnsi="Times New Roman"/>
          <w:sz w:val="24"/>
          <w:highlight w:val="none"/>
        </w:rPr>
      </w:pPr>
      <w:r>
        <w:rPr>
          <w:rFonts w:hint="eastAsia" w:ascii="Times New Roman" w:hAnsi="Times New Roman"/>
          <w:sz w:val="24"/>
          <w:highlight w:val="none"/>
        </w:rPr>
        <w:t>3、自 2021年 1月 1日起至今（以合同签订时间为准）至少独立承担过 1个网络安全服务工作（工作内容包含网络安全风险评估）。</w:t>
      </w:r>
    </w:p>
    <w:p w14:paraId="44C17ED4">
      <w:pPr>
        <w:pStyle w:val="42"/>
        <w:ind w:firstLine="480"/>
        <w:rPr>
          <w:rFonts w:ascii="Times New Roman" w:hAnsi="Times New Roman"/>
          <w:sz w:val="24"/>
          <w:highlight w:val="none"/>
        </w:rPr>
      </w:pPr>
      <w:r>
        <w:rPr>
          <w:rFonts w:hint="eastAsia" w:ascii="Times New Roman" w:hAnsi="Times New Roman"/>
          <w:sz w:val="24"/>
          <w:highlight w:val="none"/>
        </w:rPr>
        <w:t>4、项目负责人通过注册信息安全专业人员（CISP</w:t>
      </w:r>
      <w:r>
        <w:rPr>
          <w:rFonts w:hint="eastAsia" w:ascii="Times New Roman" w:hAnsi="Times New Roman"/>
          <w:sz w:val="24"/>
          <w:highlight w:val="none"/>
          <w:lang w:eastAsia="zh-CN"/>
        </w:rPr>
        <w:t>）</w:t>
      </w:r>
      <w:r>
        <w:rPr>
          <w:rFonts w:hint="eastAsia" w:ascii="Times New Roman" w:hAnsi="Times New Roman"/>
          <w:sz w:val="24"/>
          <w:highlight w:val="none"/>
        </w:rPr>
        <w:t>认证；</w:t>
      </w:r>
    </w:p>
    <w:p w14:paraId="6AB27A24">
      <w:pPr>
        <w:pStyle w:val="42"/>
        <w:ind w:firstLine="480"/>
        <w:rPr>
          <w:rFonts w:ascii="Times New Roman" w:hAnsi="Times New Roman"/>
          <w:sz w:val="24"/>
          <w:highlight w:val="none"/>
        </w:rPr>
      </w:pPr>
      <w:r>
        <w:rPr>
          <w:rFonts w:hint="eastAsia" w:ascii="Times New Roman" w:hAnsi="Times New Roman"/>
          <w:sz w:val="24"/>
          <w:highlight w:val="none"/>
        </w:rPr>
        <w:t>5、</w:t>
      </w:r>
      <w:r>
        <w:rPr>
          <w:rFonts w:hint="eastAsia" w:eastAsiaTheme="minorEastAsia"/>
          <w:sz w:val="24"/>
          <w:szCs w:val="24"/>
          <w:highlight w:val="none"/>
          <w:lang w:val="zh-CN"/>
        </w:rPr>
        <w:t>本项目不接受联合体比选申请申请，严禁转包和</w:t>
      </w:r>
      <w:r>
        <w:rPr>
          <w:rFonts w:hint="eastAsia" w:eastAsiaTheme="minorEastAsia"/>
          <w:sz w:val="24"/>
          <w:szCs w:val="24"/>
          <w:highlight w:val="none"/>
        </w:rPr>
        <w:t>非法</w:t>
      </w:r>
      <w:r>
        <w:rPr>
          <w:rFonts w:hint="eastAsia" w:eastAsiaTheme="minorEastAsia"/>
          <w:sz w:val="24"/>
          <w:szCs w:val="24"/>
          <w:highlight w:val="none"/>
          <w:lang w:val="zh-CN"/>
        </w:rPr>
        <w:t>分包</w:t>
      </w:r>
      <w:r>
        <w:rPr>
          <w:rFonts w:hint="eastAsia" w:hAnsi="宋体" w:cs="宋体"/>
          <w:sz w:val="24"/>
          <w:szCs w:val="24"/>
          <w:highlight w:val="none"/>
        </w:rPr>
        <w:t>。</w:t>
      </w:r>
    </w:p>
    <w:p w14:paraId="7F70A271">
      <w:pPr>
        <w:pStyle w:val="42"/>
        <w:ind w:firstLine="480"/>
        <w:rPr>
          <w:rFonts w:ascii="Times New Roman" w:hAnsi="Times New Roman"/>
          <w:sz w:val="24"/>
          <w:highlight w:val="none"/>
        </w:rPr>
      </w:pPr>
      <w:r>
        <w:rPr>
          <w:rFonts w:hint="eastAsia" w:ascii="Times New Roman" w:hAnsi="Times New Roman"/>
          <w:sz w:val="24"/>
          <w:highlight w:val="none"/>
        </w:rPr>
        <w:t>6、提供依法缴纳税收和社会保障资金的良好记录（近三个月</w:t>
      </w:r>
      <w:r>
        <w:rPr>
          <w:rFonts w:hint="eastAsia" w:ascii="Times New Roman" w:hAnsi="Times New Roman"/>
          <w:sz w:val="24"/>
          <w:highlight w:val="none"/>
          <w:lang w:val="en-US" w:eastAsia="zh-CN"/>
        </w:rPr>
        <w:t>2024年5月-7月</w:t>
      </w:r>
      <w:r>
        <w:rPr>
          <w:rFonts w:hint="eastAsia" w:ascii="Times New Roman" w:hAnsi="Times New Roman"/>
          <w:sz w:val="24"/>
          <w:highlight w:val="none"/>
        </w:rPr>
        <w:t>）。</w:t>
      </w:r>
    </w:p>
    <w:p w14:paraId="71FDA26D">
      <w:pPr>
        <w:pStyle w:val="42"/>
        <w:ind w:firstLine="480"/>
        <w:rPr>
          <w:rFonts w:ascii="Times New Roman" w:hAnsi="Times New Roman"/>
          <w:sz w:val="24"/>
          <w:highlight w:val="none"/>
        </w:rPr>
      </w:pPr>
      <w:r>
        <w:rPr>
          <w:rFonts w:hint="eastAsia" w:ascii="Times New Roman" w:hAnsi="Times New Roman"/>
          <w:sz w:val="24"/>
          <w:highlight w:val="none"/>
        </w:rPr>
        <w:t>7、参加本次比选前三年内，在经营活动中没有重大违法记录。</w:t>
      </w:r>
    </w:p>
    <w:p w14:paraId="641E12BF">
      <w:pPr>
        <w:pStyle w:val="42"/>
        <w:ind w:firstLine="480"/>
        <w:rPr>
          <w:rFonts w:ascii="Times New Roman" w:hAnsi="Times New Roman"/>
          <w:sz w:val="24"/>
          <w:highlight w:val="none"/>
        </w:rPr>
      </w:pPr>
      <w:r>
        <w:rPr>
          <w:rFonts w:hint="eastAsia" w:ascii="Times New Roman" w:hAnsi="Times New Roman"/>
          <w:sz w:val="24"/>
          <w:highlight w:val="none"/>
        </w:rPr>
        <w:t>8、在“信用中国”网站中被列入失信执行人名单的比选申请人，其比选申请无效。</w:t>
      </w:r>
    </w:p>
    <w:p w14:paraId="65C9B0AB">
      <w:pPr>
        <w:ind w:firstLine="482"/>
        <w:rPr>
          <w:rFonts w:hint="eastAsia" w:ascii="Times New Roman" w:hAnsi="Times New Roman"/>
          <w:sz w:val="24"/>
          <w:highlight w:val="none"/>
        </w:rPr>
      </w:pPr>
      <w:r>
        <w:rPr>
          <w:rFonts w:hint="eastAsia" w:ascii="Times New Roman" w:hAnsi="Times New Roman"/>
          <w:sz w:val="24"/>
          <w:highlight w:val="none"/>
        </w:rPr>
        <w:t>9、在国家企业信用信息公示系统中未被列入严重违法失信企业名单。</w:t>
      </w:r>
    </w:p>
    <w:p w14:paraId="748DD015">
      <w:pPr>
        <w:ind w:firstLine="482"/>
        <w:rPr>
          <w:b/>
          <w:highlight w:val="none"/>
        </w:rPr>
      </w:pPr>
      <w:r>
        <w:rPr>
          <w:rFonts w:hint="eastAsia" w:hAnsi="宋体"/>
          <w:b/>
          <w:bCs/>
          <w:highlight w:val="none"/>
        </w:rPr>
        <w:t>注：</w:t>
      </w:r>
      <w:bookmarkEnd w:id="440"/>
      <w:r>
        <w:rPr>
          <w:rFonts w:hint="eastAsia"/>
          <w:b/>
          <w:highlight w:val="none"/>
        </w:rPr>
        <w:t>以上要求比选申请人提供的资格证明文件复印件必须逐页加盖比选申请人印章（公章），否则视为无效比选申请</w:t>
      </w:r>
      <w:r>
        <w:rPr>
          <w:rFonts w:hint="eastAsia" w:hAnsi="宋体"/>
          <w:b/>
          <w:bCs/>
          <w:highlight w:val="none"/>
        </w:rPr>
        <w:t>。提供原件备查。资格证明文件格式自拟。第6、7、8、9条需提供证明材料（如网上截图、承诺函等）。</w:t>
      </w:r>
    </w:p>
    <w:p w14:paraId="3D079F1F">
      <w:pPr>
        <w:pStyle w:val="3"/>
        <w:rPr>
          <w:highlight w:val="none"/>
        </w:rPr>
      </w:pPr>
      <w:r>
        <w:rPr>
          <w:highlight w:val="none"/>
        </w:rPr>
        <w:br w:type="page"/>
      </w:r>
      <w:bookmarkStart w:id="475" w:name="_Toc21178"/>
      <w:bookmarkStart w:id="476" w:name="_Toc22002"/>
      <w:bookmarkStart w:id="477" w:name="_Toc25394"/>
      <w:bookmarkStart w:id="478" w:name="_Toc17373"/>
      <w:bookmarkStart w:id="479" w:name="_Toc2044"/>
      <w:bookmarkStart w:id="480" w:name="_Toc17456"/>
      <w:bookmarkStart w:id="481" w:name="_Toc8226"/>
      <w:bookmarkStart w:id="482" w:name="_Toc32014"/>
      <w:bookmarkStart w:id="483" w:name="_Toc487650605"/>
      <w:bookmarkStart w:id="484" w:name="_Toc4111"/>
      <w:r>
        <w:rPr>
          <w:rFonts w:hint="eastAsia"/>
          <w:highlight w:val="none"/>
        </w:rPr>
        <w:t>六、项目报价表</w:t>
      </w:r>
      <w:bookmarkEnd w:id="475"/>
      <w:bookmarkEnd w:id="476"/>
      <w:bookmarkEnd w:id="477"/>
      <w:bookmarkEnd w:id="478"/>
      <w:bookmarkEnd w:id="479"/>
      <w:bookmarkEnd w:id="480"/>
      <w:bookmarkEnd w:id="481"/>
      <w:bookmarkEnd w:id="482"/>
      <w:bookmarkEnd w:id="483"/>
      <w:bookmarkEnd w:id="484"/>
    </w:p>
    <w:tbl>
      <w:tblPr>
        <w:tblStyle w:val="43"/>
        <w:tblW w:w="4998" w:type="pct"/>
        <w:tblInd w:w="0" w:type="dxa"/>
        <w:tblLayout w:type="fixed"/>
        <w:tblCellMar>
          <w:top w:w="0" w:type="dxa"/>
          <w:left w:w="108" w:type="dxa"/>
          <w:bottom w:w="0" w:type="dxa"/>
          <w:right w:w="108" w:type="dxa"/>
        </w:tblCellMar>
      </w:tblPr>
      <w:tblGrid>
        <w:gridCol w:w="787"/>
        <w:gridCol w:w="877"/>
        <w:gridCol w:w="2587"/>
        <w:gridCol w:w="915"/>
        <w:gridCol w:w="835"/>
        <w:gridCol w:w="1102"/>
        <w:gridCol w:w="1416"/>
      </w:tblGrid>
      <w:tr w14:paraId="792C3730">
        <w:tblPrEx>
          <w:tblCellMar>
            <w:top w:w="0" w:type="dxa"/>
            <w:left w:w="108" w:type="dxa"/>
            <w:bottom w:w="0" w:type="dxa"/>
            <w:right w:w="108" w:type="dxa"/>
          </w:tblCellMar>
        </w:tblPrEx>
        <w:trPr>
          <w:trHeight w:val="90" w:hRule="atLeast"/>
          <w:tblHeader/>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E5BB39D">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序号</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787F5F00">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类别</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52D49203">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服务内容/产品描述、规格与模块</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6AC8DB1D">
            <w:pPr>
              <w:widowControl/>
              <w:spacing w:line="240" w:lineRule="auto"/>
              <w:ind w:firstLine="0" w:firstLineChars="0"/>
              <w:jc w:val="center"/>
              <w:textAlignment w:val="center"/>
              <w:rPr>
                <w:rFonts w:ascii="宋体" w:hAnsi="宋体" w:cs="宋体"/>
                <w:b/>
                <w:bCs/>
                <w:color w:val="000000"/>
                <w:sz w:val="18"/>
                <w:szCs w:val="18"/>
                <w:highlight w:val="none"/>
                <w:lang w:bidi="ar"/>
              </w:rPr>
            </w:pPr>
            <w:r>
              <w:rPr>
                <w:rFonts w:hint="eastAsia" w:ascii="宋体" w:hAnsi="宋体" w:cs="宋体"/>
                <w:b/>
                <w:bCs/>
                <w:color w:val="000000"/>
                <w:sz w:val="18"/>
                <w:szCs w:val="18"/>
                <w:highlight w:val="none"/>
                <w:lang w:bidi="ar"/>
              </w:rPr>
              <w:t>价格</w:t>
            </w:r>
          </w:p>
          <w:p w14:paraId="35E1E095">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（万元）</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EEFBB60">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频率/数量</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5C3C7615">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说明</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16306304">
            <w:pPr>
              <w:widowControl/>
              <w:spacing w:line="240" w:lineRule="auto"/>
              <w:ind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lang w:bidi="ar"/>
              </w:rPr>
              <w:t>服务形式</w:t>
            </w:r>
          </w:p>
        </w:tc>
      </w:tr>
      <w:tr w14:paraId="08F3C256">
        <w:tblPrEx>
          <w:tblCellMar>
            <w:top w:w="0" w:type="dxa"/>
            <w:left w:w="108" w:type="dxa"/>
            <w:bottom w:w="0" w:type="dxa"/>
            <w:right w:w="108" w:type="dxa"/>
          </w:tblCellMar>
        </w:tblPrEx>
        <w:trPr>
          <w:trHeight w:val="9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6D97D19">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1</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5906E95">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风险评估</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775822BA">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参照等保2.0三级标准、交通运输部和集团相关文件要求，对各业务系统完成风险评估工作，包含漏洞扫描、基线检查、渗透测试等工作，输出：《风险评估报告》</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60A2602B">
            <w:pPr>
              <w:widowControl/>
              <w:spacing w:line="240" w:lineRule="auto"/>
              <w:ind w:firstLine="0" w:firstLineChars="0"/>
              <w:jc w:val="center"/>
              <w:textAlignment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05BF8CA">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1次/个/年</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53AE4308">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包含都金建管平台、环水保平台和轨道智慧平台3个系统，满足蜀道集团相关文件中1年1次的要求</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6E499AC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现场+线上服务</w:t>
            </w:r>
          </w:p>
        </w:tc>
      </w:tr>
      <w:tr w14:paraId="1EABBA9C">
        <w:tblPrEx>
          <w:tblCellMar>
            <w:top w:w="0" w:type="dxa"/>
            <w:left w:w="108" w:type="dxa"/>
            <w:bottom w:w="0" w:type="dxa"/>
            <w:right w:w="108" w:type="dxa"/>
          </w:tblCellMar>
        </w:tblPrEx>
        <w:trPr>
          <w:trHeight w:val="56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C1E2439">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2</w:t>
            </w:r>
          </w:p>
        </w:tc>
        <w:tc>
          <w:tcPr>
            <w:tcW w:w="5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538DBD">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业务系统网络安全运维</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609AAFE3">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开展策略配置、网络优化配置、病毒查杀、弱口令修改、漏洞打补丁工作，及时</w:t>
            </w:r>
            <w:r>
              <w:rPr>
                <w:rFonts w:hint="eastAsia" w:ascii="宋体" w:hAnsi="宋体" w:cs="宋体"/>
                <w:color w:val="000000"/>
                <w:sz w:val="18"/>
                <w:szCs w:val="18"/>
                <w:highlight w:val="none"/>
                <w:lang w:val="en-US" w:eastAsia="zh-CN" w:bidi="ar"/>
              </w:rPr>
              <w:t>协助</w:t>
            </w:r>
            <w:r>
              <w:rPr>
                <w:rFonts w:hint="eastAsia" w:ascii="宋体" w:hAnsi="宋体" w:cs="宋体"/>
                <w:color w:val="000000"/>
                <w:sz w:val="18"/>
                <w:szCs w:val="18"/>
                <w:highlight w:val="none"/>
                <w:lang w:bidi="ar"/>
              </w:rPr>
              <w:t>更新相应的病毒库、规则库、特征库。</w:t>
            </w:r>
          </w:p>
        </w:tc>
        <w:tc>
          <w:tcPr>
            <w:tcW w:w="5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6712BF">
            <w:pPr>
              <w:widowControl/>
              <w:spacing w:line="240" w:lineRule="auto"/>
              <w:ind w:firstLine="0" w:firstLineChars="0"/>
              <w:jc w:val="center"/>
              <w:textAlignment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68C2C5B">
            <w:pPr>
              <w:widowControl/>
              <w:spacing w:line="240" w:lineRule="auto"/>
              <w:ind w:firstLine="0" w:firstLineChars="0"/>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2次/年</w:t>
            </w:r>
          </w:p>
        </w:tc>
        <w:tc>
          <w:tcPr>
            <w:tcW w:w="6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1E9789">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参照等保2.0三级标准、蜀道集团相关要求，开展2次现场运维工作，并按需开展线上服务工作</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5B785210">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现场运维+线上服务</w:t>
            </w:r>
          </w:p>
        </w:tc>
      </w:tr>
      <w:tr w14:paraId="4BBE32B5">
        <w:tblPrEx>
          <w:tblCellMar>
            <w:top w:w="0" w:type="dxa"/>
            <w:left w:w="108" w:type="dxa"/>
            <w:bottom w:w="0" w:type="dxa"/>
            <w:right w:w="108" w:type="dxa"/>
          </w:tblCellMar>
        </w:tblPrEx>
        <w:trPr>
          <w:trHeight w:val="56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6C53DB4">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3</w:t>
            </w:r>
          </w:p>
        </w:tc>
        <w:tc>
          <w:tcPr>
            <w:tcW w:w="5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D87D9">
            <w:pPr>
              <w:spacing w:line="240" w:lineRule="auto"/>
              <w:ind w:firstLine="360"/>
              <w:jc w:val="center"/>
              <w:rPr>
                <w:rFonts w:ascii="宋体" w:hAnsi="宋体" w:cs="宋体"/>
                <w:color w:val="000000"/>
                <w:sz w:val="18"/>
                <w:szCs w:val="18"/>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459E07F0">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检查各业务主机的系统和业务软件补丁的加载情况，以及关键设备上的安全策略配置情况。</w:t>
            </w:r>
          </w:p>
        </w:tc>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EFA57">
            <w:pPr>
              <w:spacing w:line="240" w:lineRule="auto"/>
              <w:ind w:firstLine="360"/>
              <w:jc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81E81C5">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按需</w:t>
            </w:r>
          </w:p>
        </w:tc>
        <w:tc>
          <w:tcPr>
            <w:tcW w:w="6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32FCA">
            <w:pPr>
              <w:spacing w:line="240" w:lineRule="auto"/>
              <w:ind w:firstLine="360"/>
              <w:jc w:val="center"/>
              <w:rPr>
                <w:rFonts w:ascii="宋体" w:hAnsi="宋体" w:cs="宋体"/>
                <w:color w:val="000000"/>
                <w:sz w:val="18"/>
                <w:szCs w:val="18"/>
                <w:highlight w:val="none"/>
              </w:rPr>
            </w:pP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0376F0E3">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现场运维+线上服务</w:t>
            </w:r>
          </w:p>
        </w:tc>
      </w:tr>
      <w:tr w14:paraId="39229C3B">
        <w:tblPrEx>
          <w:tblCellMar>
            <w:top w:w="0" w:type="dxa"/>
            <w:left w:w="108" w:type="dxa"/>
            <w:bottom w:w="0" w:type="dxa"/>
            <w:right w:w="108" w:type="dxa"/>
          </w:tblCellMar>
        </w:tblPrEx>
        <w:trPr>
          <w:trHeight w:val="84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C83ABD1">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4</w:t>
            </w:r>
          </w:p>
        </w:tc>
        <w:tc>
          <w:tcPr>
            <w:tcW w:w="5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006C9">
            <w:pPr>
              <w:spacing w:line="240" w:lineRule="auto"/>
              <w:ind w:firstLine="360"/>
              <w:jc w:val="center"/>
              <w:rPr>
                <w:rFonts w:ascii="宋体" w:hAnsi="宋体" w:cs="宋体"/>
                <w:color w:val="000000"/>
                <w:sz w:val="18"/>
                <w:szCs w:val="18"/>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3D69629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出现网络安全事件时及时到场支撑，完成系统修复、溯源取证、攻击复盘等事后工作。包含病毒和蠕虫事件、黑客入侵事件、误操作或设备故障事件等</w:t>
            </w:r>
          </w:p>
        </w:tc>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EE5CA">
            <w:pPr>
              <w:spacing w:line="240" w:lineRule="auto"/>
              <w:ind w:firstLine="360"/>
              <w:jc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7E6646A">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按需</w:t>
            </w:r>
          </w:p>
        </w:tc>
        <w:tc>
          <w:tcPr>
            <w:tcW w:w="6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FC1D2">
            <w:pPr>
              <w:spacing w:line="240" w:lineRule="auto"/>
              <w:ind w:firstLine="360"/>
              <w:jc w:val="center"/>
              <w:rPr>
                <w:rFonts w:ascii="宋体" w:hAnsi="宋体" w:cs="宋体"/>
                <w:color w:val="000000"/>
                <w:sz w:val="18"/>
                <w:szCs w:val="18"/>
                <w:highlight w:val="none"/>
              </w:rPr>
            </w:pP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8D6115">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w:t>
            </w:r>
          </w:p>
        </w:tc>
      </w:tr>
      <w:tr w14:paraId="6C4E2EA8">
        <w:tblPrEx>
          <w:tblCellMar>
            <w:top w:w="0" w:type="dxa"/>
            <w:left w:w="108" w:type="dxa"/>
            <w:bottom w:w="0" w:type="dxa"/>
            <w:right w:w="108" w:type="dxa"/>
          </w:tblCellMar>
        </w:tblPrEx>
        <w:trPr>
          <w:trHeight w:val="56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992FD3D">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5</w:t>
            </w:r>
          </w:p>
        </w:tc>
        <w:tc>
          <w:tcPr>
            <w:tcW w:w="5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B66BB">
            <w:pPr>
              <w:spacing w:line="240" w:lineRule="auto"/>
              <w:ind w:firstLine="360"/>
              <w:jc w:val="center"/>
              <w:rPr>
                <w:rFonts w:ascii="宋体" w:hAnsi="宋体" w:cs="宋体"/>
                <w:color w:val="000000"/>
                <w:sz w:val="18"/>
                <w:szCs w:val="18"/>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38DA77FE">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其他网络安全事件处理，包含支撑上级单位攻防演练、各级领导参观的现场支撑等工作。</w:t>
            </w:r>
          </w:p>
        </w:tc>
        <w:tc>
          <w:tcPr>
            <w:tcW w:w="5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6FC20">
            <w:pPr>
              <w:spacing w:line="240" w:lineRule="auto"/>
              <w:ind w:firstLine="360"/>
              <w:jc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C55441B">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按需</w:t>
            </w:r>
          </w:p>
        </w:tc>
        <w:tc>
          <w:tcPr>
            <w:tcW w:w="6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5C860">
            <w:pPr>
              <w:spacing w:line="240" w:lineRule="auto"/>
              <w:ind w:firstLine="360"/>
              <w:jc w:val="center"/>
              <w:rPr>
                <w:rFonts w:ascii="宋体" w:hAnsi="宋体" w:cs="宋体"/>
                <w:color w:val="000000"/>
                <w:sz w:val="18"/>
                <w:szCs w:val="18"/>
                <w:highlight w:val="none"/>
              </w:rPr>
            </w:pP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A1AA5">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w:t>
            </w:r>
          </w:p>
        </w:tc>
      </w:tr>
      <w:tr w14:paraId="24C75A8D">
        <w:tblPrEx>
          <w:tblCellMar>
            <w:top w:w="0" w:type="dxa"/>
            <w:left w:w="108" w:type="dxa"/>
            <w:bottom w:w="0" w:type="dxa"/>
            <w:right w:w="108" w:type="dxa"/>
          </w:tblCellMar>
        </w:tblPrEx>
        <w:trPr>
          <w:trHeight w:val="56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8DC87F0">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6</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2943C319">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网络安全重保服务</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0D4AF9ED">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按照等保2.0三级标准、蜀道集团相关要求，在重要保障期前对业务系统进行网络安全检查，确保公司业务系统稳定运行。</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2291CE44">
            <w:pPr>
              <w:widowControl/>
              <w:spacing w:line="240" w:lineRule="auto"/>
              <w:ind w:firstLine="0" w:firstLineChars="0"/>
              <w:jc w:val="center"/>
              <w:textAlignment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FF51B22">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4次</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176A2245">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春节、十一、全国两会和护网前夕，到场检查并安排线上值守</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5B2B00A7">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现场运维+线上服务</w:t>
            </w:r>
          </w:p>
        </w:tc>
      </w:tr>
      <w:tr w14:paraId="74AE9B74">
        <w:tblPrEx>
          <w:tblCellMar>
            <w:top w:w="0" w:type="dxa"/>
            <w:left w:w="108" w:type="dxa"/>
            <w:bottom w:w="0" w:type="dxa"/>
            <w:right w:w="108" w:type="dxa"/>
          </w:tblCellMar>
        </w:tblPrEx>
        <w:trPr>
          <w:trHeight w:val="56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F40523A">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7</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7821AA87">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安全培训宣传</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0C40DECE">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针对所有人员进行网络安全意识和实际操作培训，并在网络安全宣传周提供相应安全宣传资料</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1A050B46">
            <w:pPr>
              <w:widowControl/>
              <w:spacing w:line="240" w:lineRule="auto"/>
              <w:ind w:firstLine="0" w:firstLineChars="0"/>
              <w:jc w:val="center"/>
              <w:textAlignment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189D8BF">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41F77931">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满足蜀道集团相关文件中1年1次的要求</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4C2A03AA">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现场服务</w:t>
            </w:r>
          </w:p>
        </w:tc>
      </w:tr>
      <w:tr w14:paraId="532ED013">
        <w:tblPrEx>
          <w:tblCellMar>
            <w:top w:w="0" w:type="dxa"/>
            <w:left w:w="108" w:type="dxa"/>
            <w:bottom w:w="0" w:type="dxa"/>
            <w:right w:w="108" w:type="dxa"/>
          </w:tblCellMar>
        </w:tblPrEx>
        <w:trPr>
          <w:trHeight w:val="56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B4C56EC">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8</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2DEDBA7F">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安全应急演练</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4E878F69">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提前沟通演练场景并选择适合的漏洞制定演练方案和剧本，择时间进行网络安全应急演练</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1BA16BB3">
            <w:pPr>
              <w:widowControl/>
              <w:spacing w:line="240" w:lineRule="auto"/>
              <w:ind w:firstLine="0" w:firstLineChars="0"/>
              <w:jc w:val="center"/>
              <w:textAlignment w:val="center"/>
              <w:rPr>
                <w:rFonts w:ascii="宋体" w:hAnsi="宋体" w:cs="宋体"/>
                <w:color w:val="000000"/>
                <w:sz w:val="18"/>
                <w:szCs w:val="18"/>
                <w:highlight w:val="none"/>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2C71F931">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09D42906">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满足蜀道集团相关文件中1年1次的要求</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5FC75706">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现场服务</w:t>
            </w:r>
          </w:p>
        </w:tc>
      </w:tr>
      <w:tr w14:paraId="758D08E0">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5A9ED0C">
            <w:pPr>
              <w:widowControl/>
              <w:spacing w:line="240" w:lineRule="auto"/>
              <w:ind w:firstLine="0" w:firstLineChars="0"/>
              <w:jc w:val="center"/>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bidi="ar"/>
              </w:rPr>
              <w:t>9</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1679D7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办公网防火墙系统</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7B922321">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1、1U机型,配置双电源,≥16个千兆电口，, ≥4个千兆Combo接口,6个千兆光口,2个万兆SFP+,支持≥2*扩展插槽,支持</w:t>
            </w:r>
          </w:p>
          <w:p w14:paraId="6BE3862F">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2、配置≥15个并发SSLVPN用户授权，配置≥3年IPS、防病毒、应用识别特征库升级服务；</w:t>
            </w:r>
            <w:r>
              <w:rPr>
                <w:rFonts w:hint="eastAsia" w:ascii="宋体" w:hAnsi="宋体" w:cs="宋体"/>
                <w:color w:val="000000"/>
                <w:sz w:val="18"/>
                <w:szCs w:val="18"/>
                <w:highlight w:val="none"/>
                <w:lang w:bidi="ar"/>
              </w:rPr>
              <w:br w:type="textWrapping"/>
            </w:r>
            <w:r>
              <w:rPr>
                <w:rFonts w:hint="eastAsia" w:ascii="宋体" w:hAnsi="宋体" w:cs="宋体"/>
                <w:color w:val="000000"/>
                <w:sz w:val="18"/>
                <w:szCs w:val="18"/>
                <w:highlight w:val="none"/>
                <w:lang w:bidi="ar"/>
              </w:rPr>
              <w:t>3、整机吞吐量≥6G,最大并发连接数≥300W,新建连接数≥6W。</w:t>
            </w:r>
          </w:p>
          <w:p w14:paraId="6FA10B03">
            <w:pPr>
              <w:widowControl/>
              <w:spacing w:line="240" w:lineRule="auto"/>
              <w:ind w:firstLine="0" w:firstLineChars="0"/>
              <w:jc w:val="left"/>
              <w:textAlignment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4、支持IPsec VPN智能选路，根据隧道质量调度流量</w:t>
            </w:r>
          </w:p>
          <w:p w14:paraId="0039C948">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5、支持多用户共享上网行为管理支持数据防泄露，对传输的文件和内容进行识别过滤，对内容与身份证号、信用卡号、银行卡号、手机号等类型进行匹配6、提供三年原厂软硬件维保，签订合同时提供原厂售后服务承诺并加盖原厂公章。</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8A07A6">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00C69">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D17FA">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核心设备</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BB1A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4BFA368F">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7C14FDA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10</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7A47E8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终端安全系统</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3A313239">
            <w:pPr>
              <w:widowControl/>
              <w:numPr>
                <w:ilvl w:val="0"/>
                <w:numId w:val="11"/>
              </w:numPr>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系统中心，实现终端安全系统的集中管理、策略配置、报表查看等功能。</w:t>
            </w:r>
          </w:p>
          <w:p w14:paraId="7E51C6D2">
            <w:pPr>
              <w:widowControl/>
              <w:numPr>
                <w:ilvl w:val="-1"/>
                <w:numId w:val="0"/>
              </w:numPr>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2、Windows客户端基础版授权许可,提供病毒防护、漏洞管理、边界管理、软件管理、IP/MAC管控、网络管控、XP防护盾、流量管控等功能。</w:t>
            </w:r>
            <w:r>
              <w:rPr>
                <w:rFonts w:hint="eastAsia" w:ascii="宋体" w:hAnsi="宋体" w:cs="宋体"/>
                <w:color w:val="000000"/>
                <w:sz w:val="18"/>
                <w:szCs w:val="18"/>
                <w:highlight w:val="none"/>
                <w:lang w:bidi="ar"/>
              </w:rPr>
              <w:br w:type="textWrapping"/>
            </w:r>
            <w:r>
              <w:rPr>
                <w:rFonts w:hint="eastAsia" w:ascii="宋体" w:hAnsi="宋体" w:cs="宋体"/>
                <w:color w:val="000000"/>
                <w:sz w:val="18"/>
                <w:szCs w:val="18"/>
                <w:highlight w:val="none"/>
                <w:lang w:bidi="ar"/>
              </w:rPr>
              <w:t>3、提供三年原厂软硬件维保，签订合同时提供原厂售后服务承诺并加盖原厂公章。</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71A99">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62E3A">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150</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5A91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核心设备</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E65B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1625754A">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7C5757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11</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12198482">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上网行为管理</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2DBD2EA3">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1、≥1U机架式。含交流单电源模块, ≥10个千兆电口, ≥4个千兆Combo接口（光电复用）, ≥1T硬盘。</w:t>
            </w:r>
          </w:p>
          <w:p w14:paraId="084A21B0">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2、配置≥3年上网行为管理特征库升级授权。</w:t>
            </w:r>
            <w:r>
              <w:rPr>
                <w:rFonts w:hint="eastAsia" w:ascii="宋体" w:hAnsi="宋体" w:cs="宋体"/>
                <w:color w:val="000000"/>
                <w:sz w:val="18"/>
                <w:szCs w:val="18"/>
                <w:highlight w:val="none"/>
                <w:lang w:bidi="ar"/>
              </w:rPr>
              <w:br w:type="textWrapping"/>
            </w:r>
            <w:r>
              <w:rPr>
                <w:rFonts w:hint="eastAsia" w:ascii="宋体" w:hAnsi="宋体" w:cs="宋体"/>
                <w:color w:val="000000"/>
                <w:sz w:val="18"/>
                <w:szCs w:val="18"/>
                <w:highlight w:val="none"/>
                <w:lang w:bidi="ar"/>
              </w:rPr>
              <w:t>3、网络层吞吐≥3Gbps，应用层吞吐≥2Gbps，每秒新建连接数≥2万，最大并发连接数≥50万</w:t>
            </w:r>
          </w:p>
          <w:p w14:paraId="7928A710">
            <w:pPr>
              <w:widowControl/>
              <w:spacing w:line="240" w:lineRule="auto"/>
              <w:ind w:firstLine="0" w:firstLineChars="0"/>
              <w:jc w:val="left"/>
              <w:textAlignment w:val="center"/>
              <w:rPr>
                <w:rFonts w:cs="宋体" w:asciiTheme="minorEastAsia" w:hAnsiTheme="minorEastAsia" w:eastAsiaTheme="minorEastAsia"/>
                <w:sz w:val="18"/>
                <w:szCs w:val="18"/>
                <w:highlight w:val="none"/>
              </w:rPr>
            </w:pPr>
            <w:r>
              <w:rPr>
                <w:rFonts w:hint="eastAsia" w:ascii="宋体" w:hAnsi="宋体" w:cs="宋体"/>
                <w:color w:val="000000"/>
                <w:sz w:val="18"/>
                <w:szCs w:val="18"/>
                <w:highlight w:val="none"/>
                <w:lang w:bidi="ar"/>
              </w:rPr>
              <w:t>4、</w:t>
            </w:r>
            <w:r>
              <w:rPr>
                <w:rFonts w:hint="eastAsia" w:cs="宋体" w:asciiTheme="minorEastAsia" w:hAnsiTheme="minorEastAsia" w:eastAsiaTheme="minorEastAsia"/>
                <w:sz w:val="18"/>
                <w:szCs w:val="18"/>
                <w:highlight w:val="none"/>
              </w:rPr>
              <w:t>支持4G USB 插卡。支持在4G接口上运行IPSec VPN</w:t>
            </w:r>
          </w:p>
          <w:p w14:paraId="3557284A">
            <w:pPr>
              <w:widowControl/>
              <w:spacing w:line="240" w:lineRule="auto"/>
              <w:ind w:firstLine="0" w:firstLineChars="0"/>
              <w:jc w:val="left"/>
              <w:textAlignment w:val="center"/>
              <w:rPr>
                <w:rFonts w:cs="宋体" w:asciiTheme="minorEastAsia" w:hAnsiTheme="minorEastAsia" w:eastAsiaTheme="minorEastAsia"/>
                <w:sz w:val="18"/>
                <w:szCs w:val="18"/>
                <w:highlight w:val="none"/>
              </w:rPr>
            </w:pPr>
            <w:r>
              <w:rPr>
                <w:rFonts w:hint="eastAsia" w:cs="宋体" w:asciiTheme="minorEastAsia" w:hAnsiTheme="minorEastAsia" w:eastAsiaTheme="minorEastAsia"/>
                <w:sz w:val="18"/>
                <w:szCs w:val="18"/>
                <w:highlight w:val="none"/>
              </w:rPr>
              <w:t>5、支持基于接口和目的地址进行健康检查，可自定义检查间隔、重试次数等</w:t>
            </w:r>
          </w:p>
          <w:p w14:paraId="2B0ADC88">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cs="宋体" w:asciiTheme="minorEastAsia" w:hAnsiTheme="minorEastAsia" w:eastAsiaTheme="minorEastAsia"/>
                <w:sz w:val="18"/>
                <w:szCs w:val="18"/>
                <w:highlight w:val="none"/>
              </w:rPr>
              <w:t>6、针对私接网络行为，惩罚方式包括但不限于无操作、阻断和限速，阻断和限速支持自定义惩罚时长</w:t>
            </w:r>
          </w:p>
          <w:p w14:paraId="7B7540EF">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7、提供三年原厂软硬件维保，签订合同时提供原厂售后服务承诺并加盖原厂公章</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BC57F">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223B4">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18ED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核心设备</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25F1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623475D6">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875A4A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12</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43914B8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办公网路由器</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03877D3E">
            <w:pPr>
              <w:pStyle w:val="164"/>
              <w:widowControl/>
              <w:numPr>
                <w:ilvl w:val="0"/>
                <w:numId w:val="0"/>
              </w:numPr>
              <w:spacing w:line="240" w:lineRule="auto"/>
              <w:ind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1.三层包转发率≥200Kpps，NAT会话数≥16万条</w:t>
            </w:r>
          </w:p>
          <w:p w14:paraId="515852DB">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2.≥1千兆光/电复用WAN，≥4千兆LAN</w:t>
            </w:r>
          </w:p>
          <w:p w14:paraId="4941FE15">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3.支持AC管理，默认可管理AP≥300个；</w:t>
            </w:r>
          </w:p>
          <w:p w14:paraId="4E039600">
            <w:pPr>
              <w:widowControl/>
              <w:spacing w:line="240" w:lineRule="auto"/>
              <w:ind w:firstLine="0" w:firstLineChars="0"/>
              <w:jc w:val="left"/>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4.支持多种WAN链路负载分担模式：基于运营商目的地址、基于WAN链路带宽、基于策略路由等</w:t>
            </w:r>
          </w:p>
          <w:p w14:paraId="2BA2A085">
            <w:pPr>
              <w:widowControl/>
              <w:spacing w:line="240" w:lineRule="auto"/>
              <w:ind w:firstLine="0" w:firstLineChars="0"/>
              <w:jc w:val="left"/>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5.支持抖音、爱奇艺、优酷、京东、淘宝等互联网常见应用的识别和控制</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0066B">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103FA">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CBCA5">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3F6A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75FAF368">
        <w:tblPrEx>
          <w:tblCellMar>
            <w:top w:w="0" w:type="dxa"/>
            <w:left w:w="108" w:type="dxa"/>
            <w:bottom w:w="0" w:type="dxa"/>
            <w:right w:w="108" w:type="dxa"/>
          </w:tblCellMar>
        </w:tblPrEx>
        <w:trPr>
          <w:trHeight w:val="1448"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7D6CC15">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13</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31A5912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无限ac控制器</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03C92C50">
            <w:pPr>
              <w:widowControl/>
              <w:spacing w:line="240" w:lineRule="auto"/>
              <w:ind w:firstLine="0" w:firstLineChars="0"/>
              <w:jc w:val="left"/>
              <w:textAlignment w:val="auto"/>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1、支持≥ 2个2.5GE接口， ≥8个千兆电口，≥2个SFP+万兆光口</w:t>
            </w:r>
          </w:p>
          <w:p w14:paraId="1D9D2562">
            <w:pPr>
              <w:widowControl/>
              <w:spacing w:line="240" w:lineRule="auto"/>
              <w:ind w:firstLine="0" w:firstLineChars="0"/>
              <w:jc w:val="left"/>
              <w:textAlignment w:val="auto"/>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2、支持最大管理≥512个AP，配置≥含32个AP授权。</w:t>
            </w:r>
          </w:p>
          <w:p w14:paraId="5EBF624C">
            <w:pPr>
              <w:widowControl/>
              <w:spacing w:line="240" w:lineRule="auto"/>
              <w:ind w:firstLine="0" w:firstLineChars="0"/>
              <w:jc w:val="left"/>
              <w:textAlignment w:val="auto"/>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3、内置双电源。</w:t>
            </w:r>
          </w:p>
          <w:p w14:paraId="5A3285D7">
            <w:pPr>
              <w:widowControl/>
              <w:spacing w:line="240" w:lineRule="auto"/>
              <w:ind w:firstLine="0" w:firstLineChars="0"/>
              <w:jc w:val="left"/>
              <w:textAlignment w:val="auto"/>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4、支持PPPOE、NAT网关功能。</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C8543">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82FB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534D0">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 xml:space="preserve">/I </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1030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2C82BEDA">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4B7D5D2">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14</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500BAAA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办公室无线ap</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1CB2D677">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1、整机采用双频四流设计，最大接入速率≥2.975Gbps；≥1个（10/100/1000M电口）；</w:t>
            </w:r>
          </w:p>
          <w:p w14:paraId="6D7B61C5">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2、支持</w:t>
            </w:r>
            <w:r>
              <w:rPr>
                <w:rFonts w:ascii="宋体" w:hAnsi="宋体" w:cs="宋体"/>
                <w:color w:val="000000"/>
                <w:sz w:val="18"/>
                <w:szCs w:val="18"/>
                <w:highlight w:val="none"/>
                <w:lang w:bidi="ar"/>
              </w:rPr>
              <w:t>802.11ax</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23639">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98CB6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46</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CFDD1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50AA2">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19BE266C">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EA9E94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15</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254EAECA">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交换机</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427A3A0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交换容量:256Gbps；包转发率：78Mpps；24个10/100/1000Base-T电口+4个1000Base-X SFP光口；1个Console口</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CEBB8">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EAE1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AF750">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53BCB">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5BF03998">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CCCC249">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16</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68BEA54C">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POE交换机</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1EF45280">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 接口类型：≥24个GE端口，≥4个千兆SFP口（非复用）；含光模块；</w:t>
            </w:r>
          </w:p>
          <w:p w14:paraId="471AA0DD">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2、 性能：交换容量≥192Gbps；转发性能≥42Mpps；单端口最大供电功率30W；整机POE供电功率不少于385W；</w:t>
            </w:r>
          </w:p>
          <w:p w14:paraId="1A387BE2">
            <w:pPr>
              <w:widowControl/>
              <w:spacing w:line="240" w:lineRule="auto"/>
              <w:ind w:firstLine="0" w:firstLineChars="0"/>
              <w:jc w:val="center"/>
              <w:textAlignment w:val="center"/>
              <w:rPr>
                <w:rFonts w:hint="eastAsia" w:ascii="宋体" w:hAnsi="宋体" w:cs="宋体"/>
                <w:color w:val="000000"/>
                <w:sz w:val="18"/>
                <w:szCs w:val="18"/>
                <w:highlight w:val="none"/>
                <w:lang w:bidi="ar"/>
              </w:rPr>
            </w:pPr>
            <w:r>
              <w:rPr>
                <w:rFonts w:hint="eastAsia" w:ascii="宋体" w:hAnsi="宋体" w:cs="宋体"/>
                <w:color w:val="000000"/>
                <w:sz w:val="18"/>
                <w:szCs w:val="18"/>
                <w:highlight w:val="none"/>
                <w:lang w:bidi="ar"/>
              </w:rPr>
              <w:t>3、 支持跨设备链路聚合；支持虚拟化功能，最大虚拟化台数≥9台，并由统一IP地址管理；支持802.1Q (最大4K个VLAN)、支持基于协议的VLAN、IP子网的VLAN、MAC的VLAN；支持静态路由、RIP、支持IPv6静态路由、双协议栈；支持二层、三层、四层ACL、支持IPv</w:t>
            </w:r>
          </w:p>
          <w:p w14:paraId="3BC59C06">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4、IPv6 ACL、支持VLAN ACL；支持IP＋MAC+PORT+VLAN绑定、SAVI 源地址有效性验证、防Ddos攻击</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A6864">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8098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23B44">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149A9">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r>
      <w:tr w14:paraId="18DC8CA2">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2CF4818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17</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6E8609D3">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耗材</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58E60779">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包含：封堵材料、插座、网线、隔鼠板、尾纤、水晶头等</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CE51D">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5B81D">
            <w:pPr>
              <w:widowControl/>
              <w:spacing w:line="240" w:lineRule="auto"/>
              <w:ind w:firstLine="0" w:firstLineChars="0"/>
              <w:jc w:val="center"/>
              <w:textAlignment w:val="center"/>
              <w:rPr>
                <w:rFonts w:hint="eastAsia" w:ascii="宋体" w:hAnsi="宋体" w:eastAsia="宋体" w:cs="宋体"/>
                <w:color w:val="000000"/>
                <w:sz w:val="18"/>
                <w:szCs w:val="18"/>
                <w:highlight w:val="none"/>
                <w:lang w:eastAsia="zh-CN" w:bidi="ar"/>
              </w:rPr>
            </w:pPr>
            <w:r>
              <w:rPr>
                <w:rFonts w:hint="eastAsia" w:ascii="宋体" w:hAnsi="宋体" w:cs="宋体"/>
                <w:color w:val="000000"/>
                <w:sz w:val="18"/>
                <w:szCs w:val="18"/>
                <w:highlight w:val="none"/>
                <w:lang w:val="en-US" w:eastAsia="zh-CN" w:bidi="ar"/>
              </w:rPr>
              <w:t>1</w:t>
            </w: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4DE8E">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w:t>
            </w: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F9446">
            <w:pPr>
              <w:widowControl/>
              <w:spacing w:line="240" w:lineRule="auto"/>
              <w:ind w:firstLine="0" w:firstLineChars="0"/>
              <w:jc w:val="center"/>
              <w:textAlignment w:val="center"/>
              <w:rPr>
                <w:rFonts w:hint="eastAsia" w:ascii="宋体" w:hAnsi="宋体" w:eastAsia="宋体" w:cs="宋体"/>
                <w:color w:val="000000"/>
                <w:sz w:val="18"/>
                <w:szCs w:val="18"/>
                <w:highlight w:val="none"/>
                <w:lang w:eastAsia="zh-CN" w:bidi="ar"/>
              </w:rPr>
            </w:pPr>
            <w:r>
              <w:rPr>
                <w:rFonts w:hint="eastAsia" w:ascii="宋体" w:hAnsi="宋体" w:cs="宋体"/>
                <w:color w:val="000000"/>
                <w:sz w:val="18"/>
                <w:szCs w:val="18"/>
                <w:highlight w:val="none"/>
                <w:lang w:val="en-US" w:eastAsia="zh-CN" w:bidi="ar"/>
              </w:rPr>
              <w:t>/</w:t>
            </w:r>
          </w:p>
        </w:tc>
      </w:tr>
      <w:tr w14:paraId="1FEC95C2">
        <w:tblPrEx>
          <w:tblCellMar>
            <w:top w:w="0" w:type="dxa"/>
            <w:left w:w="108" w:type="dxa"/>
            <w:bottom w:w="0" w:type="dxa"/>
            <w:right w:w="108" w:type="dxa"/>
          </w:tblCellMar>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66210B9">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4241B0FF">
            <w:pPr>
              <w:widowControl/>
              <w:spacing w:line="240" w:lineRule="auto"/>
              <w:ind w:firstLine="0" w:firstLineChars="0"/>
              <w:jc w:val="center"/>
              <w:textAlignment w:val="center"/>
              <w:rPr>
                <w:rFonts w:ascii="宋体" w:hAnsi="宋体" w:cs="宋体"/>
                <w:color w:val="000000"/>
                <w:sz w:val="18"/>
                <w:szCs w:val="18"/>
                <w:highlight w:val="none"/>
                <w:lang w:bidi="ar"/>
              </w:rPr>
            </w:pPr>
            <w:r>
              <w:rPr>
                <w:rFonts w:hint="eastAsia" w:ascii="宋体" w:hAnsi="宋体" w:cs="宋体"/>
                <w:color w:val="000000"/>
                <w:sz w:val="18"/>
                <w:szCs w:val="18"/>
                <w:highlight w:val="none"/>
                <w:lang w:bidi="ar"/>
              </w:rPr>
              <w:t>合计</w:t>
            </w:r>
          </w:p>
        </w:tc>
        <w:tc>
          <w:tcPr>
            <w:tcW w:w="1518" w:type="pct"/>
            <w:tcBorders>
              <w:top w:val="single" w:color="auto" w:sz="4" w:space="0"/>
              <w:left w:val="single" w:color="auto" w:sz="4" w:space="0"/>
              <w:bottom w:val="single" w:color="auto" w:sz="4" w:space="0"/>
              <w:right w:val="single" w:color="auto" w:sz="4" w:space="0"/>
            </w:tcBorders>
            <w:shd w:val="clear" w:color="auto" w:fill="auto"/>
            <w:vAlign w:val="center"/>
          </w:tcPr>
          <w:p w14:paraId="62B2DD1D">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7F53DB">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4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EB12F">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FC48E">
            <w:pPr>
              <w:widowControl/>
              <w:spacing w:line="240" w:lineRule="auto"/>
              <w:ind w:firstLine="0" w:firstLineChars="0"/>
              <w:jc w:val="center"/>
              <w:textAlignment w:val="center"/>
              <w:rPr>
                <w:rFonts w:ascii="宋体" w:hAnsi="宋体" w:cs="宋体"/>
                <w:color w:val="000000"/>
                <w:sz w:val="18"/>
                <w:szCs w:val="18"/>
                <w:highlight w:val="none"/>
                <w:lang w:bidi="ar"/>
              </w:rPr>
            </w:pPr>
          </w:p>
        </w:tc>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42815">
            <w:pPr>
              <w:widowControl/>
              <w:spacing w:line="240" w:lineRule="auto"/>
              <w:ind w:firstLine="0" w:firstLineChars="0"/>
              <w:jc w:val="center"/>
              <w:textAlignment w:val="center"/>
              <w:rPr>
                <w:rFonts w:ascii="宋体" w:hAnsi="宋体" w:cs="宋体"/>
                <w:color w:val="000000"/>
                <w:sz w:val="18"/>
                <w:szCs w:val="18"/>
                <w:highlight w:val="none"/>
                <w:lang w:bidi="ar"/>
              </w:rPr>
            </w:pPr>
          </w:p>
        </w:tc>
      </w:tr>
    </w:tbl>
    <w:p w14:paraId="0A3D9EE6">
      <w:pPr>
        <w:pStyle w:val="42"/>
        <w:ind w:firstLine="0" w:firstLineChars="0"/>
        <w:rPr>
          <w:rFonts w:hAnsi="宋体"/>
          <w:highlight w:val="none"/>
        </w:rPr>
      </w:pPr>
    </w:p>
    <w:p w14:paraId="751ECDEF">
      <w:pPr>
        <w:ind w:firstLine="0" w:firstLineChars="0"/>
        <w:jc w:val="left"/>
        <w:rPr>
          <w:rFonts w:hAnsi="宋体"/>
          <w:highlight w:val="none"/>
        </w:rPr>
      </w:pPr>
      <w:r>
        <w:rPr>
          <w:rFonts w:hint="eastAsia" w:hAnsi="宋体"/>
          <w:b/>
          <w:snapToGrid w:val="0"/>
          <w:highlight w:val="none"/>
        </w:rPr>
        <w:t>注：1.报价应为含税价，包括比选项目范围内比选人一切应支付费用。</w:t>
      </w:r>
    </w:p>
    <w:p w14:paraId="18B5704F">
      <w:pPr>
        <w:adjustRightInd w:val="0"/>
        <w:ind w:firstLine="480"/>
        <w:jc w:val="left"/>
        <w:rPr>
          <w:rFonts w:hAnsi="宋体"/>
          <w:highlight w:val="none"/>
        </w:rPr>
      </w:pPr>
      <w:r>
        <w:rPr>
          <w:rFonts w:hint="eastAsia" w:hAnsi="宋体"/>
          <w:highlight w:val="none"/>
        </w:rPr>
        <w:t>比选申请人：</w:t>
      </w:r>
      <w:r>
        <w:rPr>
          <w:rFonts w:hint="eastAsia" w:hAnsi="宋体"/>
          <w:highlight w:val="none"/>
          <w:u w:val="single"/>
        </w:rPr>
        <w:t xml:space="preserve">                       </w:t>
      </w:r>
      <w:bookmarkStart w:id="485" w:name="_Toc217446088"/>
      <w:bookmarkStart w:id="486" w:name="_Toc482004204"/>
      <w:r>
        <w:rPr>
          <w:rFonts w:hint="eastAsia" w:hAnsi="宋体"/>
          <w:highlight w:val="none"/>
          <w:u w:val="single"/>
        </w:rPr>
        <w:t xml:space="preserve">        </w:t>
      </w:r>
      <w:r>
        <w:rPr>
          <w:rFonts w:hint="eastAsia" w:hAnsi="宋体"/>
          <w:highlight w:val="none"/>
        </w:rPr>
        <w:t xml:space="preserve"> （</w:t>
      </w:r>
      <w:bookmarkEnd w:id="485"/>
      <w:bookmarkEnd w:id="486"/>
      <w:r>
        <w:rPr>
          <w:rFonts w:hint="eastAsia" w:hAnsi="宋体"/>
          <w:highlight w:val="none"/>
        </w:rPr>
        <w:t xml:space="preserve">盖章） </w:t>
      </w:r>
    </w:p>
    <w:p w14:paraId="7D12C8C9">
      <w:pPr>
        <w:adjustRightInd w:val="0"/>
        <w:ind w:firstLine="480"/>
        <w:jc w:val="left"/>
        <w:rPr>
          <w:rFonts w:hAnsi="宋体"/>
          <w:highlight w:val="none"/>
        </w:rPr>
      </w:pPr>
      <w:r>
        <w:rPr>
          <w:rFonts w:hint="eastAsia"/>
          <w:bCs/>
          <w:highlight w:val="none"/>
        </w:rPr>
        <w:t>法定代表人或其委托代理人</w:t>
      </w:r>
      <w:r>
        <w:rPr>
          <w:rFonts w:hint="eastAsia" w:hAnsi="宋体"/>
          <w:highlight w:val="none"/>
        </w:rPr>
        <w:t>：</w:t>
      </w:r>
      <w:r>
        <w:rPr>
          <w:rFonts w:hint="eastAsia" w:hAnsi="宋体"/>
          <w:highlight w:val="none"/>
          <w:u w:val="single"/>
        </w:rPr>
        <w:t xml:space="preserve">               </w:t>
      </w:r>
      <w:r>
        <w:rPr>
          <w:rFonts w:hint="eastAsia" w:hAnsi="宋体"/>
          <w:highlight w:val="none"/>
        </w:rPr>
        <w:t>（签字）</w:t>
      </w:r>
    </w:p>
    <w:p w14:paraId="5502AB87">
      <w:pPr>
        <w:ind w:firstLine="480"/>
        <w:rPr>
          <w:highlight w:val="none"/>
        </w:rPr>
      </w:pPr>
      <w:bookmarkStart w:id="487" w:name="_Toc487650606"/>
      <w:r>
        <w:rPr>
          <w:rFonts w:hint="eastAsia"/>
          <w:highlight w:val="none"/>
        </w:rPr>
        <w:t>日期</w:t>
      </w:r>
      <w:r>
        <w:rPr>
          <w:rFonts w:hint="eastAsia"/>
          <w:b/>
          <w:highlight w:val="none"/>
        </w:rPr>
        <w:t xml:space="preserve">： </w:t>
      </w:r>
      <w:r>
        <w:rPr>
          <w:rFonts w:hint="eastAsia"/>
          <w:highlight w:val="none"/>
          <w:u w:val="single"/>
        </w:rPr>
        <w:t xml:space="preserve">    </w:t>
      </w:r>
      <w:r>
        <w:rPr>
          <w:rFonts w:hint="eastAsia"/>
          <w:highlight w:val="none"/>
        </w:rPr>
        <w:t xml:space="preserve">年 </w:t>
      </w:r>
      <w:r>
        <w:rPr>
          <w:rFonts w:hint="eastAsia"/>
          <w:highlight w:val="none"/>
          <w:u w:val="single"/>
        </w:rPr>
        <w:t xml:space="preserve">   </w:t>
      </w:r>
      <w:r>
        <w:rPr>
          <w:rFonts w:hint="eastAsia"/>
          <w:highlight w:val="none"/>
        </w:rPr>
        <w:t xml:space="preserve"> 月  </w:t>
      </w:r>
      <w:r>
        <w:rPr>
          <w:rFonts w:hint="eastAsia"/>
          <w:highlight w:val="none"/>
          <w:u w:val="single"/>
        </w:rPr>
        <w:t xml:space="preserve">   </w:t>
      </w:r>
      <w:r>
        <w:rPr>
          <w:rFonts w:hint="eastAsia"/>
          <w:highlight w:val="none"/>
        </w:rPr>
        <w:t xml:space="preserve"> 日</w:t>
      </w:r>
    </w:p>
    <w:p w14:paraId="7C2F26BA">
      <w:pPr>
        <w:ind w:firstLine="480"/>
        <w:rPr>
          <w:highlight w:val="none"/>
        </w:rPr>
      </w:pPr>
      <w:r>
        <w:rPr>
          <w:highlight w:val="none"/>
        </w:rPr>
        <w:br w:type="page"/>
      </w:r>
      <w:bookmarkStart w:id="488" w:name="_Toc9547"/>
      <w:bookmarkStart w:id="489" w:name="_Toc29392"/>
      <w:bookmarkStart w:id="490" w:name="_Toc27538"/>
    </w:p>
    <w:p w14:paraId="6F2FF36B">
      <w:pPr>
        <w:pStyle w:val="3"/>
        <w:rPr>
          <w:highlight w:val="none"/>
        </w:rPr>
      </w:pPr>
      <w:bookmarkStart w:id="491" w:name="_Toc12464"/>
      <w:bookmarkStart w:id="492" w:name="_Toc17329"/>
      <w:bookmarkStart w:id="493" w:name="_Toc27570"/>
      <w:bookmarkStart w:id="494" w:name="_Toc22051"/>
      <w:bookmarkStart w:id="495" w:name="_Toc23086"/>
      <w:bookmarkStart w:id="496" w:name="_Toc2645"/>
      <w:r>
        <w:rPr>
          <w:rFonts w:hint="eastAsia"/>
          <w:highlight w:val="none"/>
        </w:rPr>
        <w:t>七、比选申请人基本情况表</w:t>
      </w:r>
      <w:bookmarkEnd w:id="487"/>
      <w:bookmarkEnd w:id="488"/>
      <w:bookmarkEnd w:id="489"/>
      <w:bookmarkEnd w:id="490"/>
      <w:bookmarkEnd w:id="491"/>
      <w:bookmarkEnd w:id="492"/>
      <w:bookmarkEnd w:id="493"/>
      <w:bookmarkEnd w:id="494"/>
      <w:bookmarkEnd w:id="495"/>
      <w:bookmarkEnd w:id="496"/>
    </w:p>
    <w:tbl>
      <w:tblPr>
        <w:tblStyle w:val="43"/>
        <w:tblW w:w="884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86"/>
        <w:gridCol w:w="807"/>
        <w:gridCol w:w="327"/>
        <w:gridCol w:w="879"/>
        <w:gridCol w:w="1255"/>
        <w:gridCol w:w="7"/>
        <w:gridCol w:w="1325"/>
        <w:gridCol w:w="361"/>
        <w:gridCol w:w="817"/>
        <w:gridCol w:w="1076"/>
      </w:tblGrid>
      <w:tr w14:paraId="15107F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986" w:type="dxa"/>
            <w:vAlign w:val="center"/>
          </w:tcPr>
          <w:p w14:paraId="7971B242">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*比选申请人名称</w:t>
            </w:r>
          </w:p>
        </w:tc>
        <w:tc>
          <w:tcPr>
            <w:tcW w:w="6854" w:type="dxa"/>
            <w:gridSpan w:val="9"/>
            <w:vAlign w:val="center"/>
          </w:tcPr>
          <w:p w14:paraId="27B1E629">
            <w:pPr>
              <w:autoSpaceDE w:val="0"/>
              <w:autoSpaceDN w:val="0"/>
              <w:adjustRightInd w:val="0"/>
              <w:spacing w:line="240" w:lineRule="auto"/>
              <w:ind w:firstLine="0" w:firstLineChars="0"/>
              <w:jc w:val="left"/>
              <w:rPr>
                <w:rFonts w:hAnsi="宋体"/>
                <w:szCs w:val="24"/>
                <w:highlight w:val="none"/>
              </w:rPr>
            </w:pPr>
          </w:p>
        </w:tc>
      </w:tr>
      <w:tr w14:paraId="618BD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986" w:type="dxa"/>
            <w:vAlign w:val="center"/>
          </w:tcPr>
          <w:p w14:paraId="14205992">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*注册地址</w:t>
            </w:r>
          </w:p>
        </w:tc>
        <w:tc>
          <w:tcPr>
            <w:tcW w:w="3275" w:type="dxa"/>
            <w:gridSpan w:val="5"/>
            <w:vAlign w:val="center"/>
          </w:tcPr>
          <w:p w14:paraId="31ACB172">
            <w:pPr>
              <w:autoSpaceDE w:val="0"/>
              <w:autoSpaceDN w:val="0"/>
              <w:adjustRightInd w:val="0"/>
              <w:spacing w:line="240" w:lineRule="auto"/>
              <w:ind w:firstLine="0" w:firstLineChars="0"/>
              <w:jc w:val="left"/>
              <w:rPr>
                <w:rFonts w:hAnsi="宋体"/>
                <w:szCs w:val="24"/>
                <w:highlight w:val="none"/>
              </w:rPr>
            </w:pPr>
          </w:p>
        </w:tc>
        <w:tc>
          <w:tcPr>
            <w:tcW w:w="1325" w:type="dxa"/>
            <w:vAlign w:val="center"/>
          </w:tcPr>
          <w:p w14:paraId="44020F81">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*邮政编码</w:t>
            </w:r>
          </w:p>
        </w:tc>
        <w:tc>
          <w:tcPr>
            <w:tcW w:w="2254" w:type="dxa"/>
            <w:gridSpan w:val="3"/>
            <w:vAlign w:val="center"/>
          </w:tcPr>
          <w:p w14:paraId="419C93B2">
            <w:pPr>
              <w:autoSpaceDE w:val="0"/>
              <w:autoSpaceDN w:val="0"/>
              <w:adjustRightInd w:val="0"/>
              <w:spacing w:line="240" w:lineRule="auto"/>
              <w:ind w:firstLine="0" w:firstLineChars="0"/>
              <w:jc w:val="left"/>
              <w:rPr>
                <w:rFonts w:hAnsi="宋体"/>
                <w:szCs w:val="24"/>
                <w:highlight w:val="none"/>
              </w:rPr>
            </w:pPr>
          </w:p>
        </w:tc>
      </w:tr>
      <w:tr w14:paraId="0EE602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86" w:type="dxa"/>
            <w:vMerge w:val="restart"/>
            <w:vAlign w:val="center"/>
          </w:tcPr>
          <w:p w14:paraId="1F916263">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*联系方式</w:t>
            </w:r>
          </w:p>
        </w:tc>
        <w:tc>
          <w:tcPr>
            <w:tcW w:w="1134" w:type="dxa"/>
            <w:gridSpan w:val="2"/>
            <w:vAlign w:val="center"/>
          </w:tcPr>
          <w:p w14:paraId="28EDE60A">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*联系人</w:t>
            </w:r>
          </w:p>
        </w:tc>
        <w:tc>
          <w:tcPr>
            <w:tcW w:w="2134" w:type="dxa"/>
            <w:gridSpan w:val="2"/>
            <w:vAlign w:val="center"/>
          </w:tcPr>
          <w:p w14:paraId="377D8A38">
            <w:pPr>
              <w:autoSpaceDE w:val="0"/>
              <w:autoSpaceDN w:val="0"/>
              <w:adjustRightInd w:val="0"/>
              <w:spacing w:line="240" w:lineRule="auto"/>
              <w:ind w:firstLine="0" w:firstLineChars="0"/>
              <w:jc w:val="left"/>
              <w:rPr>
                <w:rFonts w:hAnsi="宋体"/>
                <w:szCs w:val="24"/>
                <w:highlight w:val="none"/>
              </w:rPr>
            </w:pPr>
          </w:p>
        </w:tc>
        <w:tc>
          <w:tcPr>
            <w:tcW w:w="1332" w:type="dxa"/>
            <w:gridSpan w:val="2"/>
            <w:vAlign w:val="center"/>
          </w:tcPr>
          <w:p w14:paraId="350FB5D9">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*电话</w:t>
            </w:r>
          </w:p>
        </w:tc>
        <w:tc>
          <w:tcPr>
            <w:tcW w:w="2254" w:type="dxa"/>
            <w:gridSpan w:val="3"/>
            <w:vAlign w:val="center"/>
          </w:tcPr>
          <w:p w14:paraId="596D6A0A">
            <w:pPr>
              <w:autoSpaceDE w:val="0"/>
              <w:autoSpaceDN w:val="0"/>
              <w:adjustRightInd w:val="0"/>
              <w:spacing w:line="240" w:lineRule="auto"/>
              <w:ind w:firstLine="0" w:firstLineChars="0"/>
              <w:jc w:val="left"/>
              <w:rPr>
                <w:rFonts w:hAnsi="宋体"/>
                <w:szCs w:val="24"/>
                <w:highlight w:val="none"/>
              </w:rPr>
            </w:pPr>
          </w:p>
        </w:tc>
      </w:tr>
      <w:tr w14:paraId="66A9CA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1986" w:type="dxa"/>
            <w:vMerge w:val="continue"/>
            <w:vAlign w:val="center"/>
          </w:tcPr>
          <w:p w14:paraId="33BD68AC">
            <w:pPr>
              <w:autoSpaceDE w:val="0"/>
              <w:autoSpaceDN w:val="0"/>
              <w:adjustRightInd w:val="0"/>
              <w:spacing w:line="240" w:lineRule="auto"/>
              <w:ind w:firstLine="0" w:firstLineChars="0"/>
              <w:jc w:val="left"/>
              <w:rPr>
                <w:rFonts w:hAnsi="宋体"/>
                <w:szCs w:val="24"/>
                <w:highlight w:val="none"/>
              </w:rPr>
            </w:pPr>
          </w:p>
        </w:tc>
        <w:tc>
          <w:tcPr>
            <w:tcW w:w="1134" w:type="dxa"/>
            <w:gridSpan w:val="2"/>
            <w:vAlign w:val="center"/>
          </w:tcPr>
          <w:p w14:paraId="2EED6CD5">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传真</w:t>
            </w:r>
          </w:p>
        </w:tc>
        <w:tc>
          <w:tcPr>
            <w:tcW w:w="2134" w:type="dxa"/>
            <w:gridSpan w:val="2"/>
            <w:vAlign w:val="center"/>
          </w:tcPr>
          <w:p w14:paraId="4DE74323">
            <w:pPr>
              <w:autoSpaceDE w:val="0"/>
              <w:autoSpaceDN w:val="0"/>
              <w:adjustRightInd w:val="0"/>
              <w:spacing w:line="240" w:lineRule="auto"/>
              <w:ind w:firstLine="0" w:firstLineChars="0"/>
              <w:jc w:val="left"/>
              <w:rPr>
                <w:rFonts w:hAnsi="宋体"/>
                <w:szCs w:val="24"/>
                <w:highlight w:val="none"/>
              </w:rPr>
            </w:pPr>
          </w:p>
        </w:tc>
        <w:tc>
          <w:tcPr>
            <w:tcW w:w="1332" w:type="dxa"/>
            <w:gridSpan w:val="2"/>
            <w:vAlign w:val="center"/>
          </w:tcPr>
          <w:p w14:paraId="0C84513F">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网址</w:t>
            </w:r>
          </w:p>
        </w:tc>
        <w:tc>
          <w:tcPr>
            <w:tcW w:w="2254" w:type="dxa"/>
            <w:gridSpan w:val="3"/>
            <w:vAlign w:val="center"/>
          </w:tcPr>
          <w:p w14:paraId="7B599C2C">
            <w:pPr>
              <w:autoSpaceDE w:val="0"/>
              <w:autoSpaceDN w:val="0"/>
              <w:adjustRightInd w:val="0"/>
              <w:spacing w:line="240" w:lineRule="auto"/>
              <w:ind w:firstLine="0" w:firstLineChars="0"/>
              <w:jc w:val="left"/>
              <w:rPr>
                <w:rFonts w:hAnsi="宋体"/>
                <w:szCs w:val="24"/>
                <w:highlight w:val="none"/>
              </w:rPr>
            </w:pPr>
          </w:p>
        </w:tc>
      </w:tr>
      <w:tr w14:paraId="20C888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86" w:type="dxa"/>
            <w:vAlign w:val="center"/>
          </w:tcPr>
          <w:p w14:paraId="2E053354">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*组织结构</w:t>
            </w:r>
          </w:p>
        </w:tc>
        <w:tc>
          <w:tcPr>
            <w:tcW w:w="6854" w:type="dxa"/>
            <w:gridSpan w:val="9"/>
            <w:vAlign w:val="center"/>
          </w:tcPr>
          <w:p w14:paraId="5886F649">
            <w:pPr>
              <w:autoSpaceDE w:val="0"/>
              <w:autoSpaceDN w:val="0"/>
              <w:adjustRightInd w:val="0"/>
              <w:spacing w:line="240" w:lineRule="auto"/>
              <w:ind w:firstLine="0" w:firstLineChars="0"/>
              <w:jc w:val="left"/>
              <w:rPr>
                <w:rFonts w:hAnsi="宋体"/>
                <w:szCs w:val="24"/>
                <w:highlight w:val="none"/>
              </w:rPr>
            </w:pPr>
          </w:p>
        </w:tc>
      </w:tr>
      <w:tr w14:paraId="4140ED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986" w:type="dxa"/>
            <w:vAlign w:val="center"/>
          </w:tcPr>
          <w:p w14:paraId="199B14ED">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*法定代表人</w:t>
            </w:r>
          </w:p>
        </w:tc>
        <w:tc>
          <w:tcPr>
            <w:tcW w:w="807" w:type="dxa"/>
            <w:vAlign w:val="center"/>
          </w:tcPr>
          <w:p w14:paraId="1EE4804B">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姓名</w:t>
            </w:r>
          </w:p>
        </w:tc>
        <w:tc>
          <w:tcPr>
            <w:tcW w:w="1206" w:type="dxa"/>
            <w:gridSpan w:val="2"/>
            <w:vAlign w:val="center"/>
          </w:tcPr>
          <w:p w14:paraId="7BABA013">
            <w:pPr>
              <w:autoSpaceDE w:val="0"/>
              <w:autoSpaceDN w:val="0"/>
              <w:adjustRightInd w:val="0"/>
              <w:spacing w:line="240" w:lineRule="auto"/>
              <w:ind w:firstLine="0" w:firstLineChars="0"/>
              <w:jc w:val="left"/>
              <w:rPr>
                <w:rFonts w:hAnsi="宋体"/>
                <w:szCs w:val="24"/>
                <w:highlight w:val="none"/>
              </w:rPr>
            </w:pPr>
          </w:p>
        </w:tc>
        <w:tc>
          <w:tcPr>
            <w:tcW w:w="1255" w:type="dxa"/>
            <w:vAlign w:val="center"/>
          </w:tcPr>
          <w:p w14:paraId="14C94D97">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技术职称</w:t>
            </w:r>
          </w:p>
        </w:tc>
        <w:tc>
          <w:tcPr>
            <w:tcW w:w="1332" w:type="dxa"/>
            <w:gridSpan w:val="2"/>
            <w:vAlign w:val="center"/>
          </w:tcPr>
          <w:p w14:paraId="042675DA">
            <w:pPr>
              <w:autoSpaceDE w:val="0"/>
              <w:autoSpaceDN w:val="0"/>
              <w:adjustRightInd w:val="0"/>
              <w:spacing w:line="240" w:lineRule="auto"/>
              <w:ind w:firstLine="0" w:firstLineChars="0"/>
              <w:jc w:val="left"/>
              <w:rPr>
                <w:rFonts w:hAnsi="宋体"/>
                <w:szCs w:val="24"/>
                <w:highlight w:val="none"/>
              </w:rPr>
            </w:pPr>
          </w:p>
        </w:tc>
        <w:tc>
          <w:tcPr>
            <w:tcW w:w="1178" w:type="dxa"/>
            <w:gridSpan w:val="2"/>
            <w:vAlign w:val="center"/>
          </w:tcPr>
          <w:p w14:paraId="705B007F">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电话</w:t>
            </w:r>
          </w:p>
        </w:tc>
        <w:tc>
          <w:tcPr>
            <w:tcW w:w="1076" w:type="dxa"/>
            <w:vAlign w:val="center"/>
          </w:tcPr>
          <w:p w14:paraId="3724512F">
            <w:pPr>
              <w:autoSpaceDE w:val="0"/>
              <w:autoSpaceDN w:val="0"/>
              <w:adjustRightInd w:val="0"/>
              <w:spacing w:line="240" w:lineRule="auto"/>
              <w:ind w:firstLine="0" w:firstLineChars="0"/>
              <w:jc w:val="left"/>
              <w:rPr>
                <w:rFonts w:hAnsi="宋体"/>
                <w:bCs/>
                <w:szCs w:val="24"/>
                <w:highlight w:val="none"/>
              </w:rPr>
            </w:pPr>
          </w:p>
        </w:tc>
      </w:tr>
      <w:tr w14:paraId="13C05A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986" w:type="dxa"/>
            <w:vAlign w:val="center"/>
          </w:tcPr>
          <w:p w14:paraId="5E3F0CB7">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技术负责人</w:t>
            </w:r>
          </w:p>
        </w:tc>
        <w:tc>
          <w:tcPr>
            <w:tcW w:w="807" w:type="dxa"/>
            <w:vAlign w:val="center"/>
          </w:tcPr>
          <w:p w14:paraId="070977A6">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姓名</w:t>
            </w:r>
          </w:p>
        </w:tc>
        <w:tc>
          <w:tcPr>
            <w:tcW w:w="1206" w:type="dxa"/>
            <w:gridSpan w:val="2"/>
            <w:vAlign w:val="center"/>
          </w:tcPr>
          <w:p w14:paraId="22492DD6">
            <w:pPr>
              <w:autoSpaceDE w:val="0"/>
              <w:autoSpaceDN w:val="0"/>
              <w:adjustRightInd w:val="0"/>
              <w:spacing w:line="240" w:lineRule="auto"/>
              <w:ind w:firstLine="0" w:firstLineChars="0"/>
              <w:jc w:val="left"/>
              <w:rPr>
                <w:rFonts w:hAnsi="宋体"/>
                <w:szCs w:val="24"/>
                <w:highlight w:val="none"/>
              </w:rPr>
            </w:pPr>
          </w:p>
        </w:tc>
        <w:tc>
          <w:tcPr>
            <w:tcW w:w="1255" w:type="dxa"/>
            <w:vAlign w:val="center"/>
          </w:tcPr>
          <w:p w14:paraId="5022CA0A">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技术职称</w:t>
            </w:r>
          </w:p>
        </w:tc>
        <w:tc>
          <w:tcPr>
            <w:tcW w:w="1332" w:type="dxa"/>
            <w:gridSpan w:val="2"/>
            <w:vAlign w:val="center"/>
          </w:tcPr>
          <w:p w14:paraId="214072DA">
            <w:pPr>
              <w:autoSpaceDE w:val="0"/>
              <w:autoSpaceDN w:val="0"/>
              <w:adjustRightInd w:val="0"/>
              <w:spacing w:line="240" w:lineRule="auto"/>
              <w:ind w:firstLine="0" w:firstLineChars="0"/>
              <w:jc w:val="left"/>
              <w:rPr>
                <w:rFonts w:hAnsi="宋体"/>
                <w:szCs w:val="24"/>
                <w:highlight w:val="none"/>
              </w:rPr>
            </w:pPr>
          </w:p>
        </w:tc>
        <w:tc>
          <w:tcPr>
            <w:tcW w:w="1178" w:type="dxa"/>
            <w:gridSpan w:val="2"/>
            <w:vAlign w:val="center"/>
          </w:tcPr>
          <w:p w14:paraId="48986416">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电话</w:t>
            </w:r>
          </w:p>
        </w:tc>
        <w:tc>
          <w:tcPr>
            <w:tcW w:w="1076" w:type="dxa"/>
            <w:vAlign w:val="center"/>
          </w:tcPr>
          <w:p w14:paraId="0778CCE3">
            <w:pPr>
              <w:autoSpaceDE w:val="0"/>
              <w:autoSpaceDN w:val="0"/>
              <w:adjustRightInd w:val="0"/>
              <w:spacing w:line="240" w:lineRule="auto"/>
              <w:ind w:firstLine="0" w:firstLineChars="0"/>
              <w:jc w:val="left"/>
              <w:rPr>
                <w:rFonts w:hAnsi="宋体"/>
                <w:bCs/>
                <w:szCs w:val="24"/>
                <w:highlight w:val="none"/>
              </w:rPr>
            </w:pPr>
          </w:p>
        </w:tc>
      </w:tr>
      <w:tr w14:paraId="40A653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86" w:type="dxa"/>
            <w:vAlign w:val="center"/>
          </w:tcPr>
          <w:p w14:paraId="525701B8">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*成立时间</w:t>
            </w:r>
          </w:p>
        </w:tc>
        <w:tc>
          <w:tcPr>
            <w:tcW w:w="2013" w:type="dxa"/>
            <w:gridSpan w:val="3"/>
            <w:vAlign w:val="center"/>
          </w:tcPr>
          <w:p w14:paraId="3F6BCB46">
            <w:pPr>
              <w:autoSpaceDE w:val="0"/>
              <w:autoSpaceDN w:val="0"/>
              <w:adjustRightInd w:val="0"/>
              <w:spacing w:line="240" w:lineRule="auto"/>
              <w:ind w:firstLine="0" w:firstLineChars="0"/>
              <w:jc w:val="left"/>
              <w:rPr>
                <w:rFonts w:hAnsi="宋体"/>
                <w:szCs w:val="24"/>
                <w:highlight w:val="none"/>
              </w:rPr>
            </w:pPr>
          </w:p>
        </w:tc>
        <w:tc>
          <w:tcPr>
            <w:tcW w:w="4841" w:type="dxa"/>
            <w:gridSpan w:val="6"/>
            <w:vAlign w:val="center"/>
          </w:tcPr>
          <w:p w14:paraId="7D2F46C9">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员工总人数：</w:t>
            </w:r>
          </w:p>
        </w:tc>
      </w:tr>
      <w:tr w14:paraId="5B53F9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986" w:type="dxa"/>
            <w:vAlign w:val="center"/>
          </w:tcPr>
          <w:p w14:paraId="03222CA5">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*企业资质等级</w:t>
            </w:r>
          </w:p>
        </w:tc>
        <w:tc>
          <w:tcPr>
            <w:tcW w:w="2013" w:type="dxa"/>
            <w:gridSpan w:val="3"/>
            <w:vAlign w:val="center"/>
          </w:tcPr>
          <w:p w14:paraId="544E6F36">
            <w:pPr>
              <w:autoSpaceDE w:val="0"/>
              <w:autoSpaceDN w:val="0"/>
              <w:adjustRightInd w:val="0"/>
              <w:spacing w:line="240" w:lineRule="auto"/>
              <w:ind w:firstLine="0" w:firstLineChars="0"/>
              <w:jc w:val="left"/>
              <w:rPr>
                <w:rFonts w:hAnsi="宋体"/>
                <w:szCs w:val="24"/>
                <w:highlight w:val="none"/>
              </w:rPr>
            </w:pPr>
          </w:p>
        </w:tc>
        <w:tc>
          <w:tcPr>
            <w:tcW w:w="1255" w:type="dxa"/>
            <w:vMerge w:val="restart"/>
            <w:vAlign w:val="center"/>
          </w:tcPr>
          <w:p w14:paraId="2615F7E4">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其中</w:t>
            </w:r>
          </w:p>
        </w:tc>
        <w:tc>
          <w:tcPr>
            <w:tcW w:w="1693" w:type="dxa"/>
            <w:gridSpan w:val="3"/>
            <w:vAlign w:val="center"/>
          </w:tcPr>
          <w:p w14:paraId="6D4C5214">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*项目经理</w:t>
            </w:r>
          </w:p>
        </w:tc>
        <w:tc>
          <w:tcPr>
            <w:tcW w:w="1893" w:type="dxa"/>
            <w:gridSpan w:val="2"/>
            <w:vAlign w:val="center"/>
          </w:tcPr>
          <w:p w14:paraId="38799927">
            <w:pPr>
              <w:autoSpaceDE w:val="0"/>
              <w:autoSpaceDN w:val="0"/>
              <w:adjustRightInd w:val="0"/>
              <w:spacing w:line="240" w:lineRule="auto"/>
              <w:ind w:firstLine="0" w:firstLineChars="0"/>
              <w:jc w:val="left"/>
              <w:rPr>
                <w:rFonts w:hAnsi="宋体"/>
                <w:bCs/>
                <w:szCs w:val="24"/>
                <w:highlight w:val="none"/>
              </w:rPr>
            </w:pPr>
          </w:p>
        </w:tc>
      </w:tr>
      <w:tr w14:paraId="06144E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86" w:type="dxa"/>
            <w:vAlign w:val="center"/>
          </w:tcPr>
          <w:p w14:paraId="42D3ED15">
            <w:pPr>
              <w:autoSpaceDE w:val="0"/>
              <w:autoSpaceDN w:val="0"/>
              <w:adjustRightInd w:val="0"/>
              <w:spacing w:line="240" w:lineRule="auto"/>
              <w:ind w:firstLine="0" w:firstLineChars="0"/>
              <w:jc w:val="left"/>
              <w:rPr>
                <w:rFonts w:hAnsi="宋体"/>
                <w:szCs w:val="24"/>
                <w:highlight w:val="none"/>
              </w:rPr>
            </w:pPr>
            <w:bookmarkStart w:id="497" w:name="_Toc217446089"/>
            <w:r>
              <w:rPr>
                <w:rFonts w:hint="eastAsia" w:hAnsi="宋体"/>
                <w:szCs w:val="24"/>
                <w:highlight w:val="none"/>
              </w:rPr>
              <w:t>*营业执照号</w:t>
            </w:r>
          </w:p>
        </w:tc>
        <w:tc>
          <w:tcPr>
            <w:tcW w:w="2013" w:type="dxa"/>
            <w:gridSpan w:val="3"/>
            <w:vAlign w:val="center"/>
          </w:tcPr>
          <w:p w14:paraId="27A4F21A">
            <w:pPr>
              <w:autoSpaceDE w:val="0"/>
              <w:autoSpaceDN w:val="0"/>
              <w:adjustRightInd w:val="0"/>
              <w:spacing w:line="240" w:lineRule="auto"/>
              <w:ind w:firstLine="0" w:firstLineChars="0"/>
              <w:jc w:val="left"/>
              <w:rPr>
                <w:rFonts w:hAnsi="宋体"/>
                <w:szCs w:val="24"/>
                <w:highlight w:val="none"/>
              </w:rPr>
            </w:pPr>
          </w:p>
        </w:tc>
        <w:tc>
          <w:tcPr>
            <w:tcW w:w="1255" w:type="dxa"/>
            <w:vMerge w:val="continue"/>
            <w:vAlign w:val="center"/>
          </w:tcPr>
          <w:p w14:paraId="710AE617">
            <w:pPr>
              <w:autoSpaceDE w:val="0"/>
              <w:autoSpaceDN w:val="0"/>
              <w:adjustRightInd w:val="0"/>
              <w:spacing w:line="240" w:lineRule="auto"/>
              <w:ind w:firstLine="0" w:firstLineChars="0"/>
              <w:jc w:val="left"/>
              <w:rPr>
                <w:rFonts w:hAnsi="宋体"/>
                <w:szCs w:val="24"/>
                <w:highlight w:val="none"/>
              </w:rPr>
            </w:pPr>
          </w:p>
        </w:tc>
        <w:tc>
          <w:tcPr>
            <w:tcW w:w="1693" w:type="dxa"/>
            <w:gridSpan w:val="3"/>
            <w:vAlign w:val="center"/>
          </w:tcPr>
          <w:p w14:paraId="6B0164A5">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高级职称人员</w:t>
            </w:r>
          </w:p>
        </w:tc>
        <w:tc>
          <w:tcPr>
            <w:tcW w:w="1893" w:type="dxa"/>
            <w:gridSpan w:val="2"/>
            <w:vAlign w:val="center"/>
          </w:tcPr>
          <w:p w14:paraId="58884C76">
            <w:pPr>
              <w:autoSpaceDE w:val="0"/>
              <w:autoSpaceDN w:val="0"/>
              <w:adjustRightInd w:val="0"/>
              <w:spacing w:line="240" w:lineRule="auto"/>
              <w:ind w:firstLine="0" w:firstLineChars="0"/>
              <w:jc w:val="left"/>
              <w:rPr>
                <w:rFonts w:hAnsi="宋体"/>
                <w:bCs/>
                <w:szCs w:val="24"/>
                <w:highlight w:val="none"/>
              </w:rPr>
            </w:pPr>
          </w:p>
        </w:tc>
      </w:tr>
      <w:tr w14:paraId="0B1719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86" w:type="dxa"/>
            <w:vAlign w:val="center"/>
          </w:tcPr>
          <w:p w14:paraId="37590783">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*注册资金</w:t>
            </w:r>
          </w:p>
        </w:tc>
        <w:tc>
          <w:tcPr>
            <w:tcW w:w="2013" w:type="dxa"/>
            <w:gridSpan w:val="3"/>
            <w:vAlign w:val="center"/>
          </w:tcPr>
          <w:p w14:paraId="4677A812">
            <w:pPr>
              <w:autoSpaceDE w:val="0"/>
              <w:autoSpaceDN w:val="0"/>
              <w:adjustRightInd w:val="0"/>
              <w:spacing w:line="240" w:lineRule="auto"/>
              <w:ind w:firstLine="0" w:firstLineChars="0"/>
              <w:jc w:val="left"/>
              <w:rPr>
                <w:rFonts w:hAnsi="宋体"/>
                <w:szCs w:val="24"/>
                <w:highlight w:val="none"/>
              </w:rPr>
            </w:pPr>
          </w:p>
        </w:tc>
        <w:tc>
          <w:tcPr>
            <w:tcW w:w="1255" w:type="dxa"/>
            <w:vMerge w:val="continue"/>
            <w:vAlign w:val="center"/>
          </w:tcPr>
          <w:p w14:paraId="535359FA">
            <w:pPr>
              <w:autoSpaceDE w:val="0"/>
              <w:autoSpaceDN w:val="0"/>
              <w:adjustRightInd w:val="0"/>
              <w:spacing w:line="240" w:lineRule="auto"/>
              <w:ind w:firstLine="0" w:firstLineChars="0"/>
              <w:jc w:val="left"/>
              <w:rPr>
                <w:rFonts w:hAnsi="宋体"/>
                <w:szCs w:val="24"/>
                <w:highlight w:val="none"/>
              </w:rPr>
            </w:pPr>
          </w:p>
        </w:tc>
        <w:tc>
          <w:tcPr>
            <w:tcW w:w="1693" w:type="dxa"/>
            <w:gridSpan w:val="3"/>
            <w:vAlign w:val="center"/>
          </w:tcPr>
          <w:p w14:paraId="2212BC94">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中级职称人员</w:t>
            </w:r>
          </w:p>
        </w:tc>
        <w:tc>
          <w:tcPr>
            <w:tcW w:w="1893" w:type="dxa"/>
            <w:gridSpan w:val="2"/>
            <w:vAlign w:val="center"/>
          </w:tcPr>
          <w:p w14:paraId="6BCC2762">
            <w:pPr>
              <w:autoSpaceDE w:val="0"/>
              <w:autoSpaceDN w:val="0"/>
              <w:adjustRightInd w:val="0"/>
              <w:spacing w:line="240" w:lineRule="auto"/>
              <w:ind w:firstLine="0" w:firstLineChars="0"/>
              <w:jc w:val="left"/>
              <w:rPr>
                <w:rFonts w:hAnsi="宋体"/>
                <w:bCs/>
                <w:szCs w:val="24"/>
                <w:highlight w:val="none"/>
              </w:rPr>
            </w:pPr>
          </w:p>
        </w:tc>
      </w:tr>
      <w:tr w14:paraId="0F1845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986" w:type="dxa"/>
            <w:vAlign w:val="center"/>
          </w:tcPr>
          <w:p w14:paraId="2257F6DB">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*开户银行</w:t>
            </w:r>
          </w:p>
        </w:tc>
        <w:tc>
          <w:tcPr>
            <w:tcW w:w="2013" w:type="dxa"/>
            <w:gridSpan w:val="3"/>
            <w:vAlign w:val="center"/>
          </w:tcPr>
          <w:p w14:paraId="3818C78C">
            <w:pPr>
              <w:autoSpaceDE w:val="0"/>
              <w:autoSpaceDN w:val="0"/>
              <w:adjustRightInd w:val="0"/>
              <w:spacing w:line="240" w:lineRule="auto"/>
              <w:ind w:firstLine="0" w:firstLineChars="0"/>
              <w:jc w:val="left"/>
              <w:rPr>
                <w:rFonts w:hAnsi="宋体"/>
                <w:szCs w:val="24"/>
                <w:highlight w:val="none"/>
              </w:rPr>
            </w:pPr>
          </w:p>
        </w:tc>
        <w:tc>
          <w:tcPr>
            <w:tcW w:w="1255" w:type="dxa"/>
            <w:vMerge w:val="continue"/>
            <w:vAlign w:val="center"/>
          </w:tcPr>
          <w:p w14:paraId="76C0F6FE">
            <w:pPr>
              <w:autoSpaceDE w:val="0"/>
              <w:autoSpaceDN w:val="0"/>
              <w:adjustRightInd w:val="0"/>
              <w:spacing w:line="240" w:lineRule="auto"/>
              <w:ind w:firstLine="0" w:firstLineChars="0"/>
              <w:jc w:val="left"/>
              <w:rPr>
                <w:rFonts w:hAnsi="宋体"/>
                <w:szCs w:val="24"/>
                <w:highlight w:val="none"/>
              </w:rPr>
            </w:pPr>
          </w:p>
        </w:tc>
        <w:tc>
          <w:tcPr>
            <w:tcW w:w="1693" w:type="dxa"/>
            <w:gridSpan w:val="3"/>
            <w:vAlign w:val="center"/>
          </w:tcPr>
          <w:p w14:paraId="22F65DF0">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初级职称人员</w:t>
            </w:r>
          </w:p>
          <w:bookmarkEnd w:id="497"/>
        </w:tc>
        <w:tc>
          <w:tcPr>
            <w:tcW w:w="1893" w:type="dxa"/>
            <w:gridSpan w:val="2"/>
            <w:vAlign w:val="center"/>
          </w:tcPr>
          <w:p w14:paraId="41B18413">
            <w:pPr>
              <w:autoSpaceDE w:val="0"/>
              <w:autoSpaceDN w:val="0"/>
              <w:adjustRightInd w:val="0"/>
              <w:spacing w:line="240" w:lineRule="auto"/>
              <w:ind w:firstLine="0" w:firstLineChars="0"/>
              <w:jc w:val="left"/>
              <w:rPr>
                <w:rFonts w:hAnsi="宋体"/>
                <w:bCs/>
                <w:szCs w:val="24"/>
                <w:highlight w:val="none"/>
              </w:rPr>
            </w:pPr>
          </w:p>
        </w:tc>
      </w:tr>
      <w:tr w14:paraId="01575B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986" w:type="dxa"/>
            <w:vAlign w:val="center"/>
          </w:tcPr>
          <w:p w14:paraId="200B6DF1">
            <w:pPr>
              <w:autoSpaceDE w:val="0"/>
              <w:autoSpaceDN w:val="0"/>
              <w:adjustRightInd w:val="0"/>
              <w:spacing w:line="240" w:lineRule="auto"/>
              <w:ind w:firstLine="0" w:firstLineChars="0"/>
              <w:jc w:val="left"/>
              <w:rPr>
                <w:rFonts w:hAnsi="宋体"/>
                <w:szCs w:val="24"/>
                <w:highlight w:val="none"/>
              </w:rPr>
            </w:pPr>
            <w:bookmarkStart w:id="498" w:name="_Toc482004209"/>
            <w:r>
              <w:rPr>
                <w:rFonts w:hint="eastAsia" w:hAnsi="宋体"/>
                <w:szCs w:val="24"/>
                <w:highlight w:val="none"/>
              </w:rPr>
              <w:t>*账号</w:t>
            </w:r>
          </w:p>
        </w:tc>
        <w:tc>
          <w:tcPr>
            <w:tcW w:w="2013" w:type="dxa"/>
            <w:gridSpan w:val="3"/>
            <w:vAlign w:val="center"/>
          </w:tcPr>
          <w:p w14:paraId="4662F940">
            <w:pPr>
              <w:autoSpaceDE w:val="0"/>
              <w:autoSpaceDN w:val="0"/>
              <w:adjustRightInd w:val="0"/>
              <w:spacing w:line="240" w:lineRule="auto"/>
              <w:ind w:firstLine="0" w:firstLineChars="0"/>
              <w:jc w:val="left"/>
              <w:rPr>
                <w:rFonts w:hAnsi="宋体"/>
                <w:szCs w:val="24"/>
                <w:highlight w:val="none"/>
              </w:rPr>
            </w:pPr>
          </w:p>
        </w:tc>
        <w:tc>
          <w:tcPr>
            <w:tcW w:w="1255" w:type="dxa"/>
            <w:vMerge w:val="continue"/>
            <w:vAlign w:val="center"/>
          </w:tcPr>
          <w:p w14:paraId="1F677705">
            <w:pPr>
              <w:autoSpaceDE w:val="0"/>
              <w:autoSpaceDN w:val="0"/>
              <w:adjustRightInd w:val="0"/>
              <w:spacing w:line="240" w:lineRule="auto"/>
              <w:ind w:firstLine="0" w:firstLineChars="0"/>
              <w:jc w:val="left"/>
              <w:rPr>
                <w:rFonts w:hAnsi="宋体"/>
                <w:szCs w:val="24"/>
                <w:highlight w:val="none"/>
              </w:rPr>
            </w:pPr>
          </w:p>
        </w:tc>
        <w:tc>
          <w:tcPr>
            <w:tcW w:w="1693" w:type="dxa"/>
            <w:gridSpan w:val="3"/>
            <w:vAlign w:val="center"/>
          </w:tcPr>
          <w:p w14:paraId="0A2BD0C8">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技工</w:t>
            </w:r>
          </w:p>
          <w:bookmarkEnd w:id="498"/>
        </w:tc>
        <w:tc>
          <w:tcPr>
            <w:tcW w:w="1893" w:type="dxa"/>
            <w:gridSpan w:val="2"/>
            <w:vAlign w:val="center"/>
          </w:tcPr>
          <w:p w14:paraId="55CA3E25">
            <w:pPr>
              <w:autoSpaceDE w:val="0"/>
              <w:autoSpaceDN w:val="0"/>
              <w:adjustRightInd w:val="0"/>
              <w:spacing w:line="240" w:lineRule="auto"/>
              <w:ind w:firstLine="0" w:firstLineChars="0"/>
              <w:jc w:val="left"/>
              <w:rPr>
                <w:rFonts w:hAnsi="宋体"/>
                <w:bCs/>
                <w:szCs w:val="24"/>
                <w:highlight w:val="none"/>
              </w:rPr>
            </w:pPr>
          </w:p>
        </w:tc>
      </w:tr>
      <w:tr w14:paraId="458E4C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33" w:hRule="atLeast"/>
          <w:jc w:val="center"/>
        </w:trPr>
        <w:tc>
          <w:tcPr>
            <w:tcW w:w="1986" w:type="dxa"/>
            <w:vAlign w:val="center"/>
          </w:tcPr>
          <w:p w14:paraId="6437BB51">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*经营范围</w:t>
            </w:r>
          </w:p>
        </w:tc>
        <w:tc>
          <w:tcPr>
            <w:tcW w:w="6854" w:type="dxa"/>
            <w:gridSpan w:val="9"/>
            <w:vAlign w:val="center"/>
          </w:tcPr>
          <w:p w14:paraId="4EA74945">
            <w:pPr>
              <w:autoSpaceDE w:val="0"/>
              <w:autoSpaceDN w:val="0"/>
              <w:adjustRightInd w:val="0"/>
              <w:spacing w:line="240" w:lineRule="auto"/>
              <w:ind w:firstLine="0" w:firstLineChars="0"/>
              <w:jc w:val="left"/>
              <w:rPr>
                <w:rFonts w:hAnsi="宋体"/>
                <w:bCs/>
                <w:szCs w:val="24"/>
                <w:highlight w:val="none"/>
              </w:rPr>
            </w:pPr>
          </w:p>
        </w:tc>
      </w:tr>
      <w:tr w14:paraId="75E19B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58" w:hRule="atLeast"/>
          <w:jc w:val="center"/>
        </w:trPr>
        <w:tc>
          <w:tcPr>
            <w:tcW w:w="1986" w:type="dxa"/>
            <w:vAlign w:val="center"/>
          </w:tcPr>
          <w:p w14:paraId="1006B0C8">
            <w:pPr>
              <w:autoSpaceDE w:val="0"/>
              <w:autoSpaceDN w:val="0"/>
              <w:adjustRightInd w:val="0"/>
              <w:spacing w:line="240" w:lineRule="auto"/>
              <w:ind w:firstLine="0" w:firstLineChars="0"/>
              <w:jc w:val="left"/>
              <w:rPr>
                <w:rFonts w:hAnsi="宋体"/>
                <w:szCs w:val="24"/>
                <w:highlight w:val="none"/>
              </w:rPr>
            </w:pPr>
            <w:r>
              <w:rPr>
                <w:rFonts w:hint="eastAsia" w:hAnsi="宋体"/>
                <w:szCs w:val="24"/>
                <w:highlight w:val="none"/>
              </w:rPr>
              <w:t>备注</w:t>
            </w:r>
          </w:p>
        </w:tc>
        <w:tc>
          <w:tcPr>
            <w:tcW w:w="6854" w:type="dxa"/>
            <w:gridSpan w:val="9"/>
            <w:vAlign w:val="center"/>
          </w:tcPr>
          <w:p w14:paraId="118D9EFA">
            <w:pPr>
              <w:autoSpaceDE w:val="0"/>
              <w:autoSpaceDN w:val="0"/>
              <w:adjustRightInd w:val="0"/>
              <w:spacing w:line="240" w:lineRule="auto"/>
              <w:ind w:firstLine="0" w:firstLineChars="0"/>
              <w:jc w:val="left"/>
              <w:rPr>
                <w:rFonts w:hAnsi="宋体"/>
                <w:szCs w:val="24"/>
                <w:highlight w:val="none"/>
              </w:rPr>
            </w:pPr>
          </w:p>
        </w:tc>
      </w:tr>
    </w:tbl>
    <w:p w14:paraId="0E2A82CF">
      <w:pPr>
        <w:ind w:firstLine="482"/>
        <w:rPr>
          <w:b/>
          <w:szCs w:val="24"/>
          <w:highlight w:val="none"/>
        </w:rPr>
      </w:pPr>
      <w:r>
        <w:rPr>
          <w:rFonts w:hint="eastAsia" w:hAnsi="宋体" w:cs="Arial"/>
          <w:b/>
          <w:bCs/>
          <w:szCs w:val="24"/>
          <w:highlight w:val="none"/>
        </w:rPr>
        <w:t>注：*号为必填内容。</w:t>
      </w:r>
      <w:r>
        <w:rPr>
          <w:rFonts w:hint="eastAsia"/>
          <w:b/>
          <w:szCs w:val="24"/>
          <w:highlight w:val="none"/>
        </w:rPr>
        <w:t>同时提供营业执照复印件附后，复印件逐页加盖比选申请人印章（公章）。</w:t>
      </w:r>
    </w:p>
    <w:p w14:paraId="163F19A6">
      <w:pPr>
        <w:ind w:firstLine="482"/>
        <w:rPr>
          <w:b/>
          <w:szCs w:val="24"/>
          <w:highlight w:val="none"/>
        </w:rPr>
      </w:pPr>
    </w:p>
    <w:p w14:paraId="75F133F0">
      <w:pPr>
        <w:ind w:firstLine="482"/>
        <w:rPr>
          <w:b/>
          <w:szCs w:val="24"/>
          <w:highlight w:val="none"/>
        </w:rPr>
      </w:pPr>
    </w:p>
    <w:p w14:paraId="49024BCE">
      <w:pPr>
        <w:ind w:firstLine="482"/>
        <w:rPr>
          <w:b/>
          <w:szCs w:val="24"/>
          <w:highlight w:val="none"/>
        </w:rPr>
      </w:pPr>
    </w:p>
    <w:p w14:paraId="06975167">
      <w:pPr>
        <w:pStyle w:val="42"/>
        <w:ind w:firstLine="0" w:firstLineChars="0"/>
        <w:rPr>
          <w:b/>
          <w:szCs w:val="24"/>
          <w:highlight w:val="none"/>
        </w:rPr>
      </w:pPr>
    </w:p>
    <w:p w14:paraId="37DFD939">
      <w:pPr>
        <w:pStyle w:val="3"/>
        <w:rPr>
          <w:highlight w:val="none"/>
        </w:rPr>
      </w:pPr>
      <w:bookmarkStart w:id="499" w:name="_Toc26784"/>
      <w:bookmarkStart w:id="500" w:name="_Toc23992"/>
      <w:bookmarkStart w:id="501" w:name="_Toc3134"/>
      <w:bookmarkStart w:id="502" w:name="_Toc6244"/>
      <w:bookmarkStart w:id="503" w:name="_Toc18064"/>
      <w:bookmarkStart w:id="504" w:name="_Toc17680"/>
      <w:bookmarkStart w:id="505" w:name="_Toc19259"/>
      <w:bookmarkStart w:id="506" w:name="_Toc13729"/>
      <w:bookmarkStart w:id="507" w:name="_Toc23702"/>
      <w:r>
        <w:rPr>
          <w:rFonts w:hint="eastAsia"/>
          <w:highlight w:val="none"/>
        </w:rPr>
        <w:t>八、业绩证明</w:t>
      </w:r>
      <w:bookmarkEnd w:id="499"/>
      <w:bookmarkEnd w:id="500"/>
      <w:bookmarkEnd w:id="501"/>
      <w:bookmarkEnd w:id="502"/>
      <w:bookmarkEnd w:id="503"/>
      <w:bookmarkEnd w:id="504"/>
      <w:bookmarkEnd w:id="505"/>
      <w:bookmarkEnd w:id="506"/>
      <w:bookmarkEnd w:id="507"/>
    </w:p>
    <w:p w14:paraId="2F04B055">
      <w:pPr>
        <w:spacing w:line="240" w:lineRule="auto"/>
        <w:ind w:firstLine="0" w:firstLineChars="0"/>
        <w:rPr>
          <w:rFonts w:hAnsi="宋体"/>
          <w:b/>
          <w:szCs w:val="24"/>
          <w:highlight w:val="none"/>
        </w:rPr>
      </w:pPr>
    </w:p>
    <w:p w14:paraId="52E25A5A">
      <w:pPr>
        <w:tabs>
          <w:tab w:val="left" w:pos="720"/>
        </w:tabs>
        <w:spacing w:line="460" w:lineRule="exact"/>
        <w:ind w:firstLine="0" w:firstLineChars="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提供 202</w:t>
      </w:r>
      <w:r>
        <w:rPr>
          <w:rFonts w:hint="eastAsia" w:asciiTheme="minorEastAsia" w:hAnsiTheme="minorEastAsia" w:eastAsiaTheme="minorEastAsia" w:cstheme="minorEastAsia"/>
          <w:highlight w:val="none"/>
        </w:rPr>
        <w:t>1年1</w:t>
      </w:r>
      <w:r>
        <w:rPr>
          <w:rFonts w:hint="eastAsia" w:asciiTheme="minorEastAsia" w:hAnsiTheme="minorEastAsia" w:eastAsiaTheme="minorEastAsia" w:cstheme="minorEastAsia"/>
          <w:highlight w:val="none"/>
          <w:lang w:val="zh-CN"/>
        </w:rPr>
        <w:t xml:space="preserve"> 月 1日至今已完成的类似业绩，</w:t>
      </w:r>
      <w:r>
        <w:rPr>
          <w:rFonts w:hint="eastAsia" w:asciiTheme="minorEastAsia" w:hAnsiTheme="minorEastAsia" w:eastAsiaTheme="minorEastAsia" w:cstheme="minorEastAsia"/>
          <w:highlight w:val="none"/>
        </w:rPr>
        <w:t>要求</w:t>
      </w:r>
      <w:r>
        <w:rPr>
          <w:rFonts w:hint="eastAsia" w:asciiTheme="minorEastAsia" w:hAnsiTheme="minorEastAsia" w:eastAsiaTheme="minorEastAsia" w:cstheme="minorEastAsia"/>
          <w:highlight w:val="none"/>
          <w:lang w:val="zh-CN"/>
        </w:rPr>
        <w:t>提供业绩合同证明盖鲜</w:t>
      </w:r>
      <w:r>
        <w:rPr>
          <w:rFonts w:hint="eastAsia" w:asciiTheme="minorEastAsia" w:hAnsiTheme="minorEastAsia" w:eastAsiaTheme="minorEastAsia" w:cstheme="minorEastAsia"/>
          <w:highlight w:val="none"/>
        </w:rPr>
        <w:t>章</w:t>
      </w:r>
      <w:r>
        <w:rPr>
          <w:rFonts w:hint="eastAsia" w:asciiTheme="minorEastAsia" w:hAnsiTheme="minorEastAsia" w:eastAsiaTheme="minorEastAsia" w:cstheme="minorEastAsia"/>
          <w:highlight w:val="none"/>
          <w:lang w:val="zh-CN"/>
        </w:rPr>
        <w:t>方为有效</w:t>
      </w:r>
    </w:p>
    <w:p w14:paraId="399F5DBE">
      <w:pPr>
        <w:tabs>
          <w:tab w:val="left" w:pos="720"/>
        </w:tabs>
        <w:spacing w:line="460" w:lineRule="exact"/>
        <w:ind w:firstLine="0" w:firstLineChars="0"/>
        <w:rPr>
          <w:rFonts w:asciiTheme="minorEastAsia" w:hAnsiTheme="minorEastAsia" w:eastAsiaTheme="minorEastAsia" w:cstheme="minorEastAsia"/>
          <w:highlight w:val="none"/>
        </w:rPr>
      </w:pPr>
    </w:p>
    <w:p w14:paraId="42AE0231">
      <w:pPr>
        <w:spacing w:line="240" w:lineRule="auto"/>
        <w:ind w:firstLine="480"/>
        <w:rPr>
          <w:highlight w:val="none"/>
        </w:rPr>
      </w:pPr>
    </w:p>
    <w:p w14:paraId="69429D8A">
      <w:pPr>
        <w:spacing w:line="240" w:lineRule="auto"/>
        <w:ind w:firstLine="480"/>
        <w:rPr>
          <w:highlight w:val="none"/>
        </w:rPr>
      </w:pPr>
    </w:p>
    <w:p w14:paraId="71559A8C">
      <w:pPr>
        <w:spacing w:line="240" w:lineRule="auto"/>
        <w:ind w:firstLine="480"/>
        <w:rPr>
          <w:highlight w:val="none"/>
        </w:rPr>
      </w:pPr>
    </w:p>
    <w:p w14:paraId="56650A76">
      <w:pPr>
        <w:spacing w:line="240" w:lineRule="auto"/>
        <w:ind w:firstLine="480"/>
        <w:rPr>
          <w:highlight w:val="none"/>
        </w:rPr>
      </w:pPr>
    </w:p>
    <w:p w14:paraId="77ACE3EE">
      <w:pPr>
        <w:spacing w:line="240" w:lineRule="auto"/>
        <w:ind w:firstLine="480"/>
        <w:rPr>
          <w:highlight w:val="none"/>
        </w:rPr>
      </w:pPr>
    </w:p>
    <w:p w14:paraId="060B382F">
      <w:pPr>
        <w:spacing w:line="240" w:lineRule="auto"/>
        <w:ind w:firstLine="480"/>
        <w:rPr>
          <w:highlight w:val="none"/>
        </w:rPr>
      </w:pPr>
    </w:p>
    <w:p w14:paraId="333966C3">
      <w:pPr>
        <w:spacing w:line="240" w:lineRule="auto"/>
        <w:ind w:firstLine="480"/>
        <w:rPr>
          <w:highlight w:val="none"/>
        </w:rPr>
      </w:pPr>
    </w:p>
    <w:p w14:paraId="27B4DDB2">
      <w:pPr>
        <w:ind w:firstLine="480"/>
        <w:rPr>
          <w:highlight w:val="none"/>
        </w:rPr>
      </w:pPr>
    </w:p>
    <w:p w14:paraId="14B2486A">
      <w:pPr>
        <w:spacing w:line="240" w:lineRule="auto"/>
        <w:ind w:firstLine="480"/>
        <w:rPr>
          <w:highlight w:val="none"/>
        </w:rPr>
      </w:pPr>
    </w:p>
    <w:p w14:paraId="04C52286">
      <w:pPr>
        <w:ind w:firstLine="0" w:firstLineChars="0"/>
        <w:rPr>
          <w:highlight w:val="none"/>
        </w:rPr>
      </w:pPr>
      <w:bookmarkStart w:id="508" w:name="_Toc29810"/>
      <w:bookmarkStart w:id="509" w:name="_Toc30660"/>
      <w:bookmarkStart w:id="510" w:name="_Toc11198"/>
      <w:r>
        <w:rPr>
          <w:highlight w:val="none"/>
        </w:rPr>
        <w:br w:type="page"/>
      </w:r>
    </w:p>
    <w:p w14:paraId="26F2A632">
      <w:pPr>
        <w:pStyle w:val="3"/>
        <w:rPr>
          <w:highlight w:val="none"/>
        </w:rPr>
      </w:pPr>
      <w:bookmarkStart w:id="511" w:name="_Toc27592"/>
      <w:bookmarkStart w:id="512" w:name="_Toc4161"/>
      <w:bookmarkStart w:id="513" w:name="_Toc27462"/>
      <w:bookmarkStart w:id="514" w:name="_Toc24479"/>
      <w:bookmarkStart w:id="515" w:name="_Toc29165"/>
      <w:r>
        <w:rPr>
          <w:rFonts w:hint="eastAsia"/>
          <w:highlight w:val="none"/>
        </w:rPr>
        <w:t>九、项目人员资历证明</w:t>
      </w:r>
      <w:bookmarkEnd w:id="511"/>
      <w:bookmarkEnd w:id="512"/>
      <w:bookmarkEnd w:id="513"/>
      <w:bookmarkEnd w:id="514"/>
      <w:bookmarkEnd w:id="515"/>
    </w:p>
    <w:p w14:paraId="11B9BF5D">
      <w:pPr>
        <w:tabs>
          <w:tab w:val="left" w:pos="720"/>
        </w:tabs>
        <w:spacing w:line="46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格式自拟</w:t>
      </w:r>
    </w:p>
    <w:p w14:paraId="6D049557">
      <w:pPr>
        <w:ind w:firstLine="482"/>
        <w:rPr>
          <w:rFonts w:hAnsi="宋体"/>
          <w:b/>
          <w:szCs w:val="24"/>
          <w:highlight w:val="none"/>
        </w:rPr>
      </w:pPr>
      <w:r>
        <w:rPr>
          <w:rFonts w:hint="eastAsia" w:hAnsi="宋体"/>
          <w:b/>
          <w:szCs w:val="24"/>
          <w:highlight w:val="none"/>
        </w:rPr>
        <w:br w:type="page"/>
      </w:r>
    </w:p>
    <w:p w14:paraId="1F9A593A">
      <w:pPr>
        <w:pStyle w:val="3"/>
        <w:rPr>
          <w:highlight w:val="none"/>
        </w:rPr>
      </w:pPr>
      <w:bookmarkStart w:id="516" w:name="_Toc15412"/>
      <w:bookmarkStart w:id="517" w:name="_Toc17083"/>
      <w:bookmarkStart w:id="518" w:name="_Toc10536"/>
      <w:bookmarkStart w:id="519" w:name="_Toc23996"/>
      <w:bookmarkStart w:id="520" w:name="_Toc28629"/>
      <w:bookmarkStart w:id="521" w:name="_Toc937"/>
      <w:r>
        <w:rPr>
          <w:rFonts w:hint="eastAsia"/>
          <w:highlight w:val="none"/>
        </w:rPr>
        <w:t>十</w:t>
      </w:r>
      <w:r>
        <w:rPr>
          <w:highlight w:val="none"/>
        </w:rPr>
        <w:t>、</w:t>
      </w:r>
      <w:bookmarkEnd w:id="508"/>
      <w:bookmarkEnd w:id="509"/>
      <w:bookmarkEnd w:id="510"/>
      <w:bookmarkStart w:id="522" w:name="_Toc179632816"/>
      <w:bookmarkStart w:id="523" w:name="_Toc144974864"/>
      <w:bookmarkStart w:id="524" w:name="_Toc152042585"/>
      <w:bookmarkStart w:id="525" w:name="_Toc152045796"/>
      <w:r>
        <w:rPr>
          <w:rFonts w:hint="eastAsia"/>
          <w:highlight w:val="none"/>
        </w:rPr>
        <w:t>项目实施方案</w:t>
      </w:r>
      <w:bookmarkEnd w:id="516"/>
      <w:bookmarkEnd w:id="517"/>
      <w:bookmarkEnd w:id="518"/>
      <w:bookmarkEnd w:id="519"/>
      <w:bookmarkEnd w:id="520"/>
      <w:bookmarkEnd w:id="521"/>
    </w:p>
    <w:p w14:paraId="70C18E25">
      <w:pPr>
        <w:spacing w:line="460" w:lineRule="exact"/>
        <w:ind w:firstLine="482"/>
        <w:jc w:val="center"/>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项目</w:t>
      </w:r>
      <w:bookmarkEnd w:id="522"/>
      <w:bookmarkEnd w:id="523"/>
      <w:bookmarkEnd w:id="524"/>
      <w:bookmarkEnd w:id="525"/>
      <w:r>
        <w:rPr>
          <w:rFonts w:hint="eastAsia" w:asciiTheme="minorEastAsia" w:hAnsiTheme="minorEastAsia" w:eastAsiaTheme="minorEastAsia" w:cstheme="minorEastAsia"/>
          <w:b/>
          <w:highlight w:val="none"/>
        </w:rPr>
        <w:t>方案</w:t>
      </w:r>
    </w:p>
    <w:p w14:paraId="7887D462">
      <w:pPr>
        <w:tabs>
          <w:tab w:val="left" w:pos="720"/>
        </w:tabs>
        <w:spacing w:line="460" w:lineRule="exact"/>
        <w:ind w:firstLine="0"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比选申请人针对本项目特点制定适合本项目的《项目方案》，主要内容包括：</w:t>
      </w:r>
    </w:p>
    <w:p w14:paraId="29169EEC">
      <w:pPr>
        <w:tabs>
          <w:tab w:val="left" w:pos="720"/>
        </w:tabs>
        <w:spacing w:line="460" w:lineRule="exact"/>
        <w:ind w:firstLine="0" w:firstLineChars="0"/>
        <w:rPr>
          <w:rFonts w:asciiTheme="minorEastAsia" w:hAnsiTheme="minorEastAsia" w:cstheme="minorEastAsia"/>
          <w:highlight w:val="none"/>
        </w:rPr>
      </w:pPr>
      <w:r>
        <w:rPr>
          <w:rFonts w:hint="eastAsia" w:asciiTheme="minorEastAsia" w:hAnsiTheme="minorEastAsia" w:eastAsiaTheme="minorEastAsia" w:cstheme="minorEastAsia"/>
          <w:highlight w:val="none"/>
        </w:rPr>
        <w:t>安全评估服务、应急演练服务、安全培训服务、安全运维服务</w:t>
      </w:r>
      <w:r>
        <w:rPr>
          <w:rFonts w:hint="eastAsia"/>
          <w:highlight w:val="none"/>
        </w:rPr>
        <w:t>和办公网设备加固工作计划</w:t>
      </w:r>
    </w:p>
    <w:p w14:paraId="243748D0">
      <w:pPr>
        <w:spacing w:line="440" w:lineRule="exact"/>
        <w:ind w:firstLine="400"/>
        <w:rPr>
          <w:rFonts w:eastAsia="仿宋_GB2312"/>
          <w:sz w:val="20"/>
          <w:highlight w:val="none"/>
        </w:rPr>
      </w:pPr>
    </w:p>
    <w:p w14:paraId="65B55CD9">
      <w:pPr>
        <w:spacing w:line="440" w:lineRule="exact"/>
        <w:ind w:firstLine="400"/>
        <w:rPr>
          <w:rFonts w:eastAsia="仿宋_GB2312"/>
          <w:sz w:val="20"/>
          <w:highlight w:val="none"/>
        </w:rPr>
      </w:pPr>
    </w:p>
    <w:p w14:paraId="42216F94">
      <w:pPr>
        <w:spacing w:line="440" w:lineRule="exact"/>
        <w:ind w:firstLine="400"/>
        <w:rPr>
          <w:rFonts w:eastAsia="仿宋_GB2312"/>
          <w:sz w:val="20"/>
          <w:highlight w:val="none"/>
        </w:rPr>
      </w:pPr>
    </w:p>
    <w:p w14:paraId="39769AFA">
      <w:pPr>
        <w:spacing w:line="440" w:lineRule="exact"/>
        <w:ind w:firstLine="400"/>
        <w:rPr>
          <w:rFonts w:eastAsia="仿宋_GB2312"/>
          <w:sz w:val="20"/>
          <w:highlight w:val="none"/>
        </w:rPr>
      </w:pPr>
    </w:p>
    <w:p w14:paraId="24025C99">
      <w:pPr>
        <w:spacing w:line="440" w:lineRule="exact"/>
        <w:ind w:firstLine="400"/>
        <w:rPr>
          <w:rFonts w:eastAsia="仿宋_GB2312"/>
          <w:sz w:val="20"/>
          <w:highlight w:val="none"/>
        </w:rPr>
      </w:pPr>
    </w:p>
    <w:p w14:paraId="250DAD13">
      <w:pPr>
        <w:spacing w:line="440" w:lineRule="exact"/>
        <w:ind w:firstLine="400"/>
        <w:rPr>
          <w:rFonts w:eastAsia="仿宋_GB2312"/>
          <w:sz w:val="20"/>
          <w:highlight w:val="none"/>
        </w:rPr>
      </w:pPr>
    </w:p>
    <w:p w14:paraId="2FA6528C">
      <w:pPr>
        <w:spacing w:line="440" w:lineRule="exact"/>
        <w:ind w:firstLine="400"/>
        <w:rPr>
          <w:rFonts w:eastAsia="仿宋_GB2312"/>
          <w:sz w:val="20"/>
          <w:highlight w:val="none"/>
        </w:rPr>
      </w:pPr>
    </w:p>
    <w:p w14:paraId="526C846F">
      <w:pPr>
        <w:spacing w:line="440" w:lineRule="exact"/>
        <w:ind w:firstLine="400"/>
        <w:rPr>
          <w:rFonts w:eastAsia="仿宋_GB2312"/>
          <w:sz w:val="20"/>
          <w:highlight w:val="none"/>
        </w:rPr>
      </w:pPr>
    </w:p>
    <w:p w14:paraId="56969C6E">
      <w:pPr>
        <w:spacing w:line="440" w:lineRule="exact"/>
        <w:ind w:firstLine="400"/>
        <w:rPr>
          <w:rFonts w:eastAsia="仿宋_GB2312"/>
          <w:sz w:val="20"/>
          <w:highlight w:val="none"/>
        </w:rPr>
      </w:pPr>
    </w:p>
    <w:p w14:paraId="741A37C2">
      <w:pPr>
        <w:spacing w:line="440" w:lineRule="exact"/>
        <w:ind w:firstLine="400"/>
        <w:rPr>
          <w:rFonts w:eastAsia="仿宋_GB2312"/>
          <w:sz w:val="20"/>
          <w:highlight w:val="none"/>
        </w:rPr>
      </w:pPr>
    </w:p>
    <w:p w14:paraId="1B0CBA26">
      <w:pPr>
        <w:spacing w:line="440" w:lineRule="exact"/>
        <w:ind w:firstLine="0" w:firstLineChars="0"/>
        <w:rPr>
          <w:rFonts w:hAnsi="宋体" w:cs="宋体-方正超大字符集"/>
          <w:bCs/>
          <w:szCs w:val="22"/>
          <w:highlight w:val="none"/>
        </w:rPr>
      </w:pPr>
    </w:p>
    <w:p w14:paraId="00BFA5FA">
      <w:pPr>
        <w:spacing w:line="440" w:lineRule="exact"/>
        <w:ind w:firstLine="0" w:firstLineChars="0"/>
        <w:rPr>
          <w:rFonts w:hAnsi="宋体" w:cs="宋体-方正超大字符集"/>
          <w:bCs/>
          <w:szCs w:val="22"/>
          <w:highlight w:val="none"/>
        </w:rPr>
      </w:pPr>
    </w:p>
    <w:p w14:paraId="422DEEB7">
      <w:pPr>
        <w:spacing w:line="440" w:lineRule="exact"/>
        <w:ind w:firstLine="0" w:firstLineChars="0"/>
        <w:rPr>
          <w:rFonts w:hAnsi="宋体" w:cs="宋体-方正超大字符集"/>
          <w:bCs/>
          <w:szCs w:val="22"/>
          <w:highlight w:val="none"/>
        </w:rPr>
      </w:pPr>
    </w:p>
    <w:p w14:paraId="6B8F5C79">
      <w:pPr>
        <w:spacing w:line="440" w:lineRule="exact"/>
        <w:ind w:firstLine="0" w:firstLineChars="0"/>
        <w:rPr>
          <w:rFonts w:ascii="宋体" w:hAnsi="宋体"/>
          <w:b/>
          <w:bCs/>
          <w:kern w:val="44"/>
          <w:sz w:val="36"/>
          <w:szCs w:val="44"/>
          <w:highlight w:val="none"/>
        </w:rPr>
      </w:pPr>
    </w:p>
    <w:sectPr>
      <w:headerReference r:id="rId11" w:type="default"/>
      <w:footerReference r:id="rId13" w:type="default"/>
      <w:headerReference r:id="rId12"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7204B8-5694-4554-9778-4C16D98D68F0}"/>
  </w:font>
  <w:font w:name="黑体">
    <w:panose1 w:val="02010609060101010101"/>
    <w:charset w:val="86"/>
    <w:family w:val="auto"/>
    <w:pitch w:val="default"/>
    <w:sig w:usb0="800002BF" w:usb1="38CF7CFA" w:usb2="00000016" w:usb3="00000000" w:csb0="00040001" w:csb1="00000000"/>
    <w:embedRegular r:id="rId2" w:fontKey="{1ED80BD6-56C1-4D56-88B1-AC9FE86B61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仿宋_GB2312">
    <w:panose1 w:val="02010609030101010101"/>
    <w:charset w:val="86"/>
    <w:family w:val="modern"/>
    <w:pitch w:val="default"/>
    <w:sig w:usb0="00000001" w:usb1="080E0000" w:usb2="00000000" w:usb3="00000000" w:csb0="00040000" w:csb1="00000000"/>
    <w:embedRegular r:id="rId3" w:fontKey="{256F8C6E-271E-42E3-940A-AD73A2BFA22C}"/>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E0000" w:usb2="00000000" w:usb3="00000000" w:csb0="00040000" w:csb1="00000000"/>
    <w:embedRegular r:id="rId4" w:fontKey="{C56B7F10-37A5-49BA-A702-4686E8B85DEF}"/>
  </w:font>
  <w:font w:name="新宋体">
    <w:panose1 w:val="02010609030101010101"/>
    <w:charset w:val="86"/>
    <w:family w:val="modern"/>
    <w:pitch w:val="default"/>
    <w:sig w:usb0="00000203" w:usb1="288F0000" w:usb2="00000006" w:usb3="00000000" w:csb0="00040001" w:csb1="00000000"/>
    <w:embedRegular r:id="rId5" w:fontKey="{8EA31670-E424-4F11-8868-EC64CCD6D886}"/>
  </w:font>
  <w:font w:name="宋体-方正超大字符集">
    <w:altName w:val="宋体"/>
    <w:panose1 w:val="00000000000000000000"/>
    <w:charset w:val="86"/>
    <w:family w:val="script"/>
    <w:pitch w:val="default"/>
    <w:sig w:usb0="00000000" w:usb1="00000000" w:usb2="00000010" w:usb3="00000000" w:csb0="00040000" w:csb1="00000000"/>
    <w:embedRegular r:id="rId6" w:fontKey="{93AA6FC5-6CBC-4082-A2FF-01ACAC228E8F}"/>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A077">
    <w:pPr>
      <w:pStyle w:val="27"/>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CB10F">
                          <w:pPr>
                            <w:pStyle w:val="2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FCB10F">
                    <w:pPr>
                      <w:pStyle w:val="2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DFBF">
    <w:pPr>
      <w:ind w:firstLine="480"/>
    </w:pPr>
    <w:r>
      <w:rPr>
        <w:rFonts w:hint="eastAsia"/>
      </w:rPr>
      <w:fldChar w:fldCharType="begin"/>
    </w:r>
    <w:r>
      <w:instrText xml:space="preserve"> 都市（广义）本地 \* MERGEFORMAT </w:instrText>
    </w:r>
    <w:r>
      <w:rPr>
        <w:rFonts w:hint="eastAsia"/>
      </w:rPr>
      <w:fldChar w:fldCharType="separate"/>
    </w:r>
    <w:r>
      <w:rPr>
        <w:rFonts w:hint="eastAsia"/>
        <w:b/>
        <w:bCs/>
      </w:rPr>
      <w:t>错误!未指定书签。</w:t>
    </w:r>
    <w:r>
      <w:rPr>
        <w:rFonts w:hint="eastAsia"/>
        <w:b/>
        <w:bCs/>
      </w:rPr>
      <w:fldChar w:fldCharType="end"/>
    </w:r>
    <w:r>
      <w:rPr>
        <w:rFonts w:hint="eastAsia"/>
      </w:rPr>
      <w:t>企业</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4267">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EE588">
    <w:pPr>
      <w:pStyle w:val="2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3CE77">
                          <w:pPr>
                            <w:pStyle w:val="27"/>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93CE77">
                    <w:pPr>
                      <w:pStyle w:val="2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0160">
    <w:pPr>
      <w:ind w:firstLine="480"/>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2D8EC">
    <w:pPr>
      <w:ind w:firstLine="480"/>
    </w:pPr>
  </w:p>
  <w:p w14:paraId="49F90927">
    <w:pPr>
      <w:pStyle w:val="145"/>
      <w:numPr>
        <w:ilvl w:val="0"/>
        <w:numId w:val="1"/>
      </w:numPr>
      <w:ind w:left="0" w:firstLine="480"/>
    </w:pPr>
    <w:r>
      <w:rPr>
        <w:rFonts w:hint="eastAsia"/>
      </w:rPr>
      <w:t>在中华人民共和国境内注册，具有独立法人资格的合法企业；</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7FB8">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FB8E">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C6BE">
    <w:pPr>
      <w:tabs>
        <w:tab w:val="left" w:pos="6960"/>
      </w:tabs>
      <w:ind w:firstLine="0" w:firstLineChars="0"/>
      <w:rPr>
        <w:color w:val="FFFFFF"/>
      </w:rPr>
    </w:pPr>
    <w:r>
      <w:rPr>
        <w:rFonts w:hAnsi="宋体" w:cs="宋体"/>
        <w:color w:val="FFFFFF"/>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BBD97"/>
    <w:multiLevelType w:val="singleLevel"/>
    <w:tmpl w:val="846BBD97"/>
    <w:lvl w:ilvl="0" w:tentative="0">
      <w:start w:val="2"/>
      <w:numFmt w:val="chineseCounting"/>
      <w:suff w:val="nothing"/>
      <w:lvlText w:val="%1、"/>
      <w:lvlJc w:val="left"/>
      <w:rPr>
        <w:rFonts w:hint="eastAsia"/>
      </w:rPr>
    </w:lvl>
  </w:abstractNum>
  <w:abstractNum w:abstractNumId="1">
    <w:nsid w:val="88008AFE"/>
    <w:multiLevelType w:val="singleLevel"/>
    <w:tmpl w:val="88008AFE"/>
    <w:lvl w:ilvl="0" w:tentative="0">
      <w:start w:val="1"/>
      <w:numFmt w:val="decimal"/>
      <w:suff w:val="nothing"/>
      <w:lvlText w:val="%1、"/>
      <w:lvlJc w:val="left"/>
    </w:lvl>
  </w:abstractNum>
  <w:abstractNum w:abstractNumId="2">
    <w:nsid w:val="AD5E3B37"/>
    <w:multiLevelType w:val="singleLevel"/>
    <w:tmpl w:val="AD5E3B37"/>
    <w:lvl w:ilvl="0" w:tentative="0">
      <w:start w:val="7"/>
      <w:numFmt w:val="decimal"/>
      <w:suff w:val="space"/>
      <w:lvlText w:val="%1."/>
      <w:lvlJc w:val="left"/>
    </w:lvl>
  </w:abstractNum>
  <w:abstractNum w:abstractNumId="3">
    <w:nsid w:val="C4841EE6"/>
    <w:multiLevelType w:val="singleLevel"/>
    <w:tmpl w:val="C4841EE6"/>
    <w:lvl w:ilvl="0" w:tentative="0">
      <w:start w:val="1"/>
      <w:numFmt w:val="decimal"/>
      <w:lvlText w:val="%1."/>
      <w:lvlJc w:val="left"/>
      <w:pPr>
        <w:ind w:left="425" w:hanging="425"/>
      </w:pPr>
      <w:rPr>
        <w:rFonts w:hint="default"/>
      </w:rPr>
    </w:lvl>
  </w:abstractNum>
  <w:abstractNum w:abstractNumId="4">
    <w:nsid w:val="F073FB18"/>
    <w:multiLevelType w:val="singleLevel"/>
    <w:tmpl w:val="F073FB18"/>
    <w:lvl w:ilvl="0" w:tentative="0">
      <w:start w:val="1"/>
      <w:numFmt w:val="decimal"/>
      <w:suff w:val="nothing"/>
      <w:lvlText w:val="%1、"/>
      <w:lvlJc w:val="left"/>
    </w:lvl>
  </w:abstractNum>
  <w:abstractNum w:abstractNumId="5">
    <w:nsid w:val="1510D5F7"/>
    <w:multiLevelType w:val="singleLevel"/>
    <w:tmpl w:val="1510D5F7"/>
    <w:lvl w:ilvl="0" w:tentative="0">
      <w:start w:val="1"/>
      <w:numFmt w:val="decimal"/>
      <w:lvlText w:val="%1."/>
      <w:lvlJc w:val="left"/>
      <w:pPr>
        <w:ind w:left="425" w:hanging="425"/>
      </w:pPr>
      <w:rPr>
        <w:rFonts w:hint="default"/>
        <w:b w:val="0"/>
        <w:bCs w:val="0"/>
      </w:rPr>
    </w:lvl>
  </w:abstractNum>
  <w:abstractNum w:abstractNumId="6">
    <w:nsid w:val="154C47AF"/>
    <w:multiLevelType w:val="multilevel"/>
    <w:tmpl w:val="154C47AF"/>
    <w:lvl w:ilvl="0" w:tentative="0">
      <w:start w:val="1"/>
      <w:numFmt w:val="decimal"/>
      <w:lvlText w:val="%1."/>
      <w:lvlJc w:val="left"/>
      <w:pPr>
        <w:ind w:left="7650" w:hanging="420"/>
      </w:pPr>
    </w:lvl>
    <w:lvl w:ilvl="1" w:tentative="0">
      <w:start w:val="1"/>
      <w:numFmt w:val="lowerLetter"/>
      <w:lvlText w:val="%2)"/>
      <w:lvlJc w:val="left"/>
      <w:pPr>
        <w:ind w:left="2171" w:hanging="420"/>
      </w:pPr>
    </w:lvl>
    <w:lvl w:ilvl="2" w:tentative="0">
      <w:start w:val="1"/>
      <w:numFmt w:val="lowerRoman"/>
      <w:lvlText w:val="%3."/>
      <w:lvlJc w:val="right"/>
      <w:pPr>
        <w:ind w:left="2591" w:hanging="420"/>
      </w:pPr>
    </w:lvl>
    <w:lvl w:ilvl="3" w:tentative="0">
      <w:start w:val="1"/>
      <w:numFmt w:val="decimal"/>
      <w:lvlText w:val="%4."/>
      <w:lvlJc w:val="left"/>
      <w:pPr>
        <w:ind w:left="3011" w:hanging="420"/>
      </w:pPr>
    </w:lvl>
    <w:lvl w:ilvl="4" w:tentative="0">
      <w:start w:val="1"/>
      <w:numFmt w:val="lowerLetter"/>
      <w:lvlText w:val="%5)"/>
      <w:lvlJc w:val="left"/>
      <w:pPr>
        <w:ind w:left="3431" w:hanging="420"/>
      </w:pPr>
    </w:lvl>
    <w:lvl w:ilvl="5" w:tentative="0">
      <w:start w:val="1"/>
      <w:numFmt w:val="lowerRoman"/>
      <w:lvlText w:val="%6."/>
      <w:lvlJc w:val="right"/>
      <w:pPr>
        <w:ind w:left="3851" w:hanging="420"/>
      </w:pPr>
    </w:lvl>
    <w:lvl w:ilvl="6" w:tentative="0">
      <w:start w:val="1"/>
      <w:numFmt w:val="decimal"/>
      <w:lvlText w:val="%7."/>
      <w:lvlJc w:val="left"/>
      <w:pPr>
        <w:ind w:left="4271" w:hanging="420"/>
      </w:pPr>
    </w:lvl>
    <w:lvl w:ilvl="7" w:tentative="0">
      <w:start w:val="1"/>
      <w:numFmt w:val="lowerLetter"/>
      <w:lvlText w:val="%8)"/>
      <w:lvlJc w:val="left"/>
      <w:pPr>
        <w:ind w:left="4691" w:hanging="420"/>
      </w:pPr>
    </w:lvl>
    <w:lvl w:ilvl="8" w:tentative="0">
      <w:start w:val="1"/>
      <w:numFmt w:val="lowerRoman"/>
      <w:lvlText w:val="%9."/>
      <w:lvlJc w:val="right"/>
      <w:pPr>
        <w:ind w:left="5111" w:hanging="420"/>
      </w:pPr>
    </w:lvl>
  </w:abstractNum>
  <w:abstractNum w:abstractNumId="7">
    <w:nsid w:val="2DDF6D88"/>
    <w:multiLevelType w:val="multilevel"/>
    <w:tmpl w:val="2DDF6D88"/>
    <w:lvl w:ilvl="0" w:tentative="0">
      <w:start w:val="1"/>
      <w:numFmt w:val="japaneseCounting"/>
      <w:lvlText w:val="第%1节"/>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27A9D0"/>
    <w:multiLevelType w:val="singleLevel"/>
    <w:tmpl w:val="5427A9D0"/>
    <w:lvl w:ilvl="0" w:tentative="0">
      <w:start w:val="1"/>
      <w:numFmt w:val="chineseCounting"/>
      <w:suff w:val="nothing"/>
      <w:lvlText w:val="%1、"/>
      <w:lvlJc w:val="left"/>
      <w:rPr>
        <w:rFonts w:hint="eastAsia"/>
        <w:color w:val="auto"/>
        <w:sz w:val="30"/>
      </w:rPr>
    </w:lvl>
  </w:abstractNum>
  <w:abstractNum w:abstractNumId="9">
    <w:nsid w:val="5964AB81"/>
    <w:multiLevelType w:val="singleLevel"/>
    <w:tmpl w:val="5964AB81"/>
    <w:lvl w:ilvl="0" w:tentative="0">
      <w:start w:val="2"/>
      <w:numFmt w:val="decimal"/>
      <w:suff w:val="space"/>
      <w:lvlText w:val="%1."/>
      <w:lvlJc w:val="left"/>
    </w:lvl>
  </w:abstractNum>
  <w:abstractNum w:abstractNumId="10">
    <w:nsid w:val="73C92978"/>
    <w:multiLevelType w:val="multilevel"/>
    <w:tmpl w:val="73C9297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8"/>
  </w:num>
  <w:num w:numId="3">
    <w:abstractNumId w:val="5"/>
  </w:num>
  <w:num w:numId="4">
    <w:abstractNumId w:val="3"/>
  </w:num>
  <w:num w:numId="5">
    <w:abstractNumId w:val="0"/>
  </w:num>
  <w:num w:numId="6">
    <w:abstractNumId w:val="1"/>
  </w:num>
  <w:num w:numId="7">
    <w:abstractNumId w:val="10"/>
  </w:num>
  <w:num w:numId="8">
    <w:abstractNumId w:val="2"/>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documentProtection w:enforcement="0"/>
  <w:defaultTabStop w:val="420"/>
  <w:drawingGridHorizontalSpacing w:val="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lYWE4MDdmNmQ1N2Y5ZTE5NWIzODE2OWU3ODg5ODcifQ=="/>
  </w:docVars>
  <w:rsids>
    <w:rsidRoot w:val="00172A27"/>
    <w:rsid w:val="00001527"/>
    <w:rsid w:val="00004310"/>
    <w:rsid w:val="00005258"/>
    <w:rsid w:val="000102CA"/>
    <w:rsid w:val="000208AE"/>
    <w:rsid w:val="00022133"/>
    <w:rsid w:val="000277D0"/>
    <w:rsid w:val="0003624D"/>
    <w:rsid w:val="0004011A"/>
    <w:rsid w:val="000425FF"/>
    <w:rsid w:val="000609DD"/>
    <w:rsid w:val="000906DE"/>
    <w:rsid w:val="000950A8"/>
    <w:rsid w:val="000B04AB"/>
    <w:rsid w:val="000B0674"/>
    <w:rsid w:val="000B5299"/>
    <w:rsid w:val="000C0254"/>
    <w:rsid w:val="000C0F10"/>
    <w:rsid w:val="000D0387"/>
    <w:rsid w:val="000D1125"/>
    <w:rsid w:val="000D36DC"/>
    <w:rsid w:val="000E0A34"/>
    <w:rsid w:val="000E4D25"/>
    <w:rsid w:val="000F5C0E"/>
    <w:rsid w:val="000F7306"/>
    <w:rsid w:val="00101264"/>
    <w:rsid w:val="001062EC"/>
    <w:rsid w:val="00113771"/>
    <w:rsid w:val="001141DA"/>
    <w:rsid w:val="0011774B"/>
    <w:rsid w:val="0012369E"/>
    <w:rsid w:val="0012548B"/>
    <w:rsid w:val="00127CD0"/>
    <w:rsid w:val="00127D56"/>
    <w:rsid w:val="0013381F"/>
    <w:rsid w:val="00135631"/>
    <w:rsid w:val="001369C9"/>
    <w:rsid w:val="00157D5D"/>
    <w:rsid w:val="00160CC7"/>
    <w:rsid w:val="00163704"/>
    <w:rsid w:val="00172A27"/>
    <w:rsid w:val="00182A53"/>
    <w:rsid w:val="001865FE"/>
    <w:rsid w:val="00186D0D"/>
    <w:rsid w:val="001904DA"/>
    <w:rsid w:val="001917CF"/>
    <w:rsid w:val="00194FC1"/>
    <w:rsid w:val="001A0198"/>
    <w:rsid w:val="001A0D6A"/>
    <w:rsid w:val="001B36A3"/>
    <w:rsid w:val="001C2111"/>
    <w:rsid w:val="001C39BE"/>
    <w:rsid w:val="001C6A34"/>
    <w:rsid w:val="001D3055"/>
    <w:rsid w:val="001D4908"/>
    <w:rsid w:val="001F21BB"/>
    <w:rsid w:val="001F4F3E"/>
    <w:rsid w:val="001F759B"/>
    <w:rsid w:val="0020436F"/>
    <w:rsid w:val="0020536A"/>
    <w:rsid w:val="00211F9E"/>
    <w:rsid w:val="0022511E"/>
    <w:rsid w:val="0023030E"/>
    <w:rsid w:val="00234080"/>
    <w:rsid w:val="00234C18"/>
    <w:rsid w:val="0023641D"/>
    <w:rsid w:val="002376F8"/>
    <w:rsid w:val="00237BDA"/>
    <w:rsid w:val="00246E16"/>
    <w:rsid w:val="0025373B"/>
    <w:rsid w:val="00255340"/>
    <w:rsid w:val="002647D1"/>
    <w:rsid w:val="00265672"/>
    <w:rsid w:val="00267271"/>
    <w:rsid w:val="00267B93"/>
    <w:rsid w:val="00271D22"/>
    <w:rsid w:val="00274AAF"/>
    <w:rsid w:val="00276BF5"/>
    <w:rsid w:val="0028021D"/>
    <w:rsid w:val="00280840"/>
    <w:rsid w:val="002821F7"/>
    <w:rsid w:val="002827CF"/>
    <w:rsid w:val="002867CB"/>
    <w:rsid w:val="0029286C"/>
    <w:rsid w:val="00296621"/>
    <w:rsid w:val="002A282A"/>
    <w:rsid w:val="002A5057"/>
    <w:rsid w:val="002A5852"/>
    <w:rsid w:val="002A6B3C"/>
    <w:rsid w:val="002A7F32"/>
    <w:rsid w:val="002B136F"/>
    <w:rsid w:val="002C086B"/>
    <w:rsid w:val="002D0297"/>
    <w:rsid w:val="002D3AD1"/>
    <w:rsid w:val="002E6024"/>
    <w:rsid w:val="00301AB9"/>
    <w:rsid w:val="00302EEF"/>
    <w:rsid w:val="0031340B"/>
    <w:rsid w:val="003236BB"/>
    <w:rsid w:val="00326E88"/>
    <w:rsid w:val="00327968"/>
    <w:rsid w:val="003334B4"/>
    <w:rsid w:val="00355F4D"/>
    <w:rsid w:val="003733D4"/>
    <w:rsid w:val="003910B2"/>
    <w:rsid w:val="00391198"/>
    <w:rsid w:val="00394782"/>
    <w:rsid w:val="0039485F"/>
    <w:rsid w:val="00396239"/>
    <w:rsid w:val="003964DE"/>
    <w:rsid w:val="003A46B3"/>
    <w:rsid w:val="003B7C4C"/>
    <w:rsid w:val="003C5EA7"/>
    <w:rsid w:val="003D7658"/>
    <w:rsid w:val="003E5707"/>
    <w:rsid w:val="00403164"/>
    <w:rsid w:val="004215BC"/>
    <w:rsid w:val="00426F8E"/>
    <w:rsid w:val="00432BE1"/>
    <w:rsid w:val="00445B52"/>
    <w:rsid w:val="004462C3"/>
    <w:rsid w:val="004479EF"/>
    <w:rsid w:val="00450FDD"/>
    <w:rsid w:val="004537B5"/>
    <w:rsid w:val="0045728F"/>
    <w:rsid w:val="00464704"/>
    <w:rsid w:val="0047215A"/>
    <w:rsid w:val="00472928"/>
    <w:rsid w:val="0047697E"/>
    <w:rsid w:val="00477D5A"/>
    <w:rsid w:val="00480178"/>
    <w:rsid w:val="00484927"/>
    <w:rsid w:val="004850E6"/>
    <w:rsid w:val="00490AF1"/>
    <w:rsid w:val="00497E2B"/>
    <w:rsid w:val="004A171E"/>
    <w:rsid w:val="004A5038"/>
    <w:rsid w:val="004A71E2"/>
    <w:rsid w:val="004C149D"/>
    <w:rsid w:val="004C5C8C"/>
    <w:rsid w:val="004D1A65"/>
    <w:rsid w:val="004E127C"/>
    <w:rsid w:val="004F16ED"/>
    <w:rsid w:val="0050242C"/>
    <w:rsid w:val="00505E33"/>
    <w:rsid w:val="005113AC"/>
    <w:rsid w:val="00516ECD"/>
    <w:rsid w:val="00517AD2"/>
    <w:rsid w:val="00522939"/>
    <w:rsid w:val="00523F65"/>
    <w:rsid w:val="00525B29"/>
    <w:rsid w:val="00540D75"/>
    <w:rsid w:val="005470ED"/>
    <w:rsid w:val="0055061D"/>
    <w:rsid w:val="00554055"/>
    <w:rsid w:val="00565904"/>
    <w:rsid w:val="0057585A"/>
    <w:rsid w:val="00577C71"/>
    <w:rsid w:val="00580F2C"/>
    <w:rsid w:val="00583AC6"/>
    <w:rsid w:val="00596F61"/>
    <w:rsid w:val="00597260"/>
    <w:rsid w:val="005A0191"/>
    <w:rsid w:val="005A1B20"/>
    <w:rsid w:val="005A2DB1"/>
    <w:rsid w:val="005A6446"/>
    <w:rsid w:val="005B6B12"/>
    <w:rsid w:val="005C1294"/>
    <w:rsid w:val="005C30F5"/>
    <w:rsid w:val="005C5C8A"/>
    <w:rsid w:val="005C761F"/>
    <w:rsid w:val="005D2F1B"/>
    <w:rsid w:val="005D31CB"/>
    <w:rsid w:val="005D6992"/>
    <w:rsid w:val="005F1413"/>
    <w:rsid w:val="005F274F"/>
    <w:rsid w:val="005F2F2B"/>
    <w:rsid w:val="005F6A5B"/>
    <w:rsid w:val="005F6D44"/>
    <w:rsid w:val="006000BD"/>
    <w:rsid w:val="00603234"/>
    <w:rsid w:val="00603252"/>
    <w:rsid w:val="00606557"/>
    <w:rsid w:val="00612D29"/>
    <w:rsid w:val="00621344"/>
    <w:rsid w:val="006256BE"/>
    <w:rsid w:val="006303A5"/>
    <w:rsid w:val="00637D36"/>
    <w:rsid w:val="00642CD4"/>
    <w:rsid w:val="00646509"/>
    <w:rsid w:val="006467EA"/>
    <w:rsid w:val="00650A8D"/>
    <w:rsid w:val="00664F63"/>
    <w:rsid w:val="00676DBF"/>
    <w:rsid w:val="0067744E"/>
    <w:rsid w:val="006858D8"/>
    <w:rsid w:val="006927E8"/>
    <w:rsid w:val="006A1F01"/>
    <w:rsid w:val="006A6837"/>
    <w:rsid w:val="006B0358"/>
    <w:rsid w:val="006B673A"/>
    <w:rsid w:val="006B693B"/>
    <w:rsid w:val="006C29E6"/>
    <w:rsid w:val="006C676F"/>
    <w:rsid w:val="006C698A"/>
    <w:rsid w:val="006D6877"/>
    <w:rsid w:val="006D6FEF"/>
    <w:rsid w:val="006F4B09"/>
    <w:rsid w:val="006F57B9"/>
    <w:rsid w:val="006F7B00"/>
    <w:rsid w:val="00700895"/>
    <w:rsid w:val="00705BEC"/>
    <w:rsid w:val="00712EB3"/>
    <w:rsid w:val="00717C3A"/>
    <w:rsid w:val="007228B2"/>
    <w:rsid w:val="0074215A"/>
    <w:rsid w:val="00747E48"/>
    <w:rsid w:val="007546F4"/>
    <w:rsid w:val="00767044"/>
    <w:rsid w:val="00774E3F"/>
    <w:rsid w:val="00784C53"/>
    <w:rsid w:val="00795341"/>
    <w:rsid w:val="007A6E2F"/>
    <w:rsid w:val="007A7177"/>
    <w:rsid w:val="007B5679"/>
    <w:rsid w:val="007D3A71"/>
    <w:rsid w:val="007D6D8E"/>
    <w:rsid w:val="007D7C86"/>
    <w:rsid w:val="007F37E8"/>
    <w:rsid w:val="008020F1"/>
    <w:rsid w:val="00804DE6"/>
    <w:rsid w:val="0080500E"/>
    <w:rsid w:val="008065CE"/>
    <w:rsid w:val="00822A2A"/>
    <w:rsid w:val="0083039D"/>
    <w:rsid w:val="00841039"/>
    <w:rsid w:val="0084300C"/>
    <w:rsid w:val="0084551B"/>
    <w:rsid w:val="00846FEB"/>
    <w:rsid w:val="00850316"/>
    <w:rsid w:val="0085472D"/>
    <w:rsid w:val="0086672B"/>
    <w:rsid w:val="00867AE2"/>
    <w:rsid w:val="00871112"/>
    <w:rsid w:val="00875D82"/>
    <w:rsid w:val="00890679"/>
    <w:rsid w:val="00892484"/>
    <w:rsid w:val="008A2452"/>
    <w:rsid w:val="008B72C5"/>
    <w:rsid w:val="008B7ACE"/>
    <w:rsid w:val="008C2088"/>
    <w:rsid w:val="008C303A"/>
    <w:rsid w:val="008D34F5"/>
    <w:rsid w:val="008E19D6"/>
    <w:rsid w:val="008E327F"/>
    <w:rsid w:val="008E4868"/>
    <w:rsid w:val="008F4046"/>
    <w:rsid w:val="008F73EB"/>
    <w:rsid w:val="00902864"/>
    <w:rsid w:val="00902993"/>
    <w:rsid w:val="00903498"/>
    <w:rsid w:val="00904AC2"/>
    <w:rsid w:val="00906D29"/>
    <w:rsid w:val="00913190"/>
    <w:rsid w:val="00921A95"/>
    <w:rsid w:val="009246E8"/>
    <w:rsid w:val="009342BD"/>
    <w:rsid w:val="00935F08"/>
    <w:rsid w:val="00953ECE"/>
    <w:rsid w:val="00955CA5"/>
    <w:rsid w:val="00956329"/>
    <w:rsid w:val="00956C51"/>
    <w:rsid w:val="00964C13"/>
    <w:rsid w:val="00975FCD"/>
    <w:rsid w:val="00977146"/>
    <w:rsid w:val="00983E60"/>
    <w:rsid w:val="00984EDB"/>
    <w:rsid w:val="009919B3"/>
    <w:rsid w:val="00992E65"/>
    <w:rsid w:val="009979D3"/>
    <w:rsid w:val="00997C85"/>
    <w:rsid w:val="009A0DFF"/>
    <w:rsid w:val="009A294F"/>
    <w:rsid w:val="009A38A9"/>
    <w:rsid w:val="009A64F9"/>
    <w:rsid w:val="009B6C21"/>
    <w:rsid w:val="009C121A"/>
    <w:rsid w:val="009C3729"/>
    <w:rsid w:val="009D433C"/>
    <w:rsid w:val="009D7A14"/>
    <w:rsid w:val="009E0434"/>
    <w:rsid w:val="009F12F2"/>
    <w:rsid w:val="009F3415"/>
    <w:rsid w:val="009F4BC6"/>
    <w:rsid w:val="009F5E45"/>
    <w:rsid w:val="00A000BE"/>
    <w:rsid w:val="00A02351"/>
    <w:rsid w:val="00A03604"/>
    <w:rsid w:val="00A1250F"/>
    <w:rsid w:val="00A12866"/>
    <w:rsid w:val="00A13D34"/>
    <w:rsid w:val="00A17895"/>
    <w:rsid w:val="00A20042"/>
    <w:rsid w:val="00A2685D"/>
    <w:rsid w:val="00A26B70"/>
    <w:rsid w:val="00A35166"/>
    <w:rsid w:val="00A3539F"/>
    <w:rsid w:val="00A35CAC"/>
    <w:rsid w:val="00A3620A"/>
    <w:rsid w:val="00A36702"/>
    <w:rsid w:val="00A37BEF"/>
    <w:rsid w:val="00A4015E"/>
    <w:rsid w:val="00A46AA6"/>
    <w:rsid w:val="00A54DAD"/>
    <w:rsid w:val="00A558A4"/>
    <w:rsid w:val="00A5751B"/>
    <w:rsid w:val="00A57E3F"/>
    <w:rsid w:val="00A57F50"/>
    <w:rsid w:val="00A63B23"/>
    <w:rsid w:val="00A82662"/>
    <w:rsid w:val="00A832D4"/>
    <w:rsid w:val="00A86CFE"/>
    <w:rsid w:val="00A9009D"/>
    <w:rsid w:val="00AA1B5E"/>
    <w:rsid w:val="00AB2099"/>
    <w:rsid w:val="00AC3023"/>
    <w:rsid w:val="00AD5E79"/>
    <w:rsid w:val="00AE494D"/>
    <w:rsid w:val="00AE7BDF"/>
    <w:rsid w:val="00B02379"/>
    <w:rsid w:val="00B0459D"/>
    <w:rsid w:val="00B0630D"/>
    <w:rsid w:val="00B12141"/>
    <w:rsid w:val="00B13227"/>
    <w:rsid w:val="00B16640"/>
    <w:rsid w:val="00B2562A"/>
    <w:rsid w:val="00B56BCA"/>
    <w:rsid w:val="00B7160B"/>
    <w:rsid w:val="00B72FD4"/>
    <w:rsid w:val="00B84C9B"/>
    <w:rsid w:val="00B8528A"/>
    <w:rsid w:val="00B93612"/>
    <w:rsid w:val="00B944E3"/>
    <w:rsid w:val="00B94C24"/>
    <w:rsid w:val="00BA7AF7"/>
    <w:rsid w:val="00BB1EB5"/>
    <w:rsid w:val="00BB61B2"/>
    <w:rsid w:val="00BC1FD7"/>
    <w:rsid w:val="00BD7BD4"/>
    <w:rsid w:val="00BE20B8"/>
    <w:rsid w:val="00BF10FA"/>
    <w:rsid w:val="00BF7BB6"/>
    <w:rsid w:val="00BF7E66"/>
    <w:rsid w:val="00C005EC"/>
    <w:rsid w:val="00C0217C"/>
    <w:rsid w:val="00C02A47"/>
    <w:rsid w:val="00C0690B"/>
    <w:rsid w:val="00C2147D"/>
    <w:rsid w:val="00C32BEE"/>
    <w:rsid w:val="00C34E2C"/>
    <w:rsid w:val="00C3505B"/>
    <w:rsid w:val="00C35208"/>
    <w:rsid w:val="00C464D6"/>
    <w:rsid w:val="00C569EF"/>
    <w:rsid w:val="00C61549"/>
    <w:rsid w:val="00C62037"/>
    <w:rsid w:val="00C67E94"/>
    <w:rsid w:val="00C73696"/>
    <w:rsid w:val="00C74F5D"/>
    <w:rsid w:val="00C84E33"/>
    <w:rsid w:val="00CA2A9A"/>
    <w:rsid w:val="00CD1B14"/>
    <w:rsid w:val="00CD517A"/>
    <w:rsid w:val="00CD7002"/>
    <w:rsid w:val="00CE74C3"/>
    <w:rsid w:val="00CF0521"/>
    <w:rsid w:val="00CF4188"/>
    <w:rsid w:val="00CF7776"/>
    <w:rsid w:val="00D1081D"/>
    <w:rsid w:val="00D21124"/>
    <w:rsid w:val="00D225C9"/>
    <w:rsid w:val="00D2296B"/>
    <w:rsid w:val="00D22CF7"/>
    <w:rsid w:val="00D32ABE"/>
    <w:rsid w:val="00D44556"/>
    <w:rsid w:val="00D64F33"/>
    <w:rsid w:val="00D80F48"/>
    <w:rsid w:val="00D840DB"/>
    <w:rsid w:val="00D84430"/>
    <w:rsid w:val="00D851EA"/>
    <w:rsid w:val="00D86833"/>
    <w:rsid w:val="00D86BD6"/>
    <w:rsid w:val="00D900C8"/>
    <w:rsid w:val="00D94078"/>
    <w:rsid w:val="00DA56E2"/>
    <w:rsid w:val="00DA6F8B"/>
    <w:rsid w:val="00DC03F8"/>
    <w:rsid w:val="00DC6AA2"/>
    <w:rsid w:val="00DD3CE4"/>
    <w:rsid w:val="00DD60A9"/>
    <w:rsid w:val="00DD6953"/>
    <w:rsid w:val="00DE0067"/>
    <w:rsid w:val="00DE0CB8"/>
    <w:rsid w:val="00DE0E4E"/>
    <w:rsid w:val="00DE3809"/>
    <w:rsid w:val="00E02D60"/>
    <w:rsid w:val="00E05E4F"/>
    <w:rsid w:val="00E16294"/>
    <w:rsid w:val="00E16CD0"/>
    <w:rsid w:val="00E2058D"/>
    <w:rsid w:val="00E215B2"/>
    <w:rsid w:val="00E310BD"/>
    <w:rsid w:val="00E332E9"/>
    <w:rsid w:val="00E33371"/>
    <w:rsid w:val="00E33541"/>
    <w:rsid w:val="00E3636D"/>
    <w:rsid w:val="00E41192"/>
    <w:rsid w:val="00E51E7B"/>
    <w:rsid w:val="00E57379"/>
    <w:rsid w:val="00E61A19"/>
    <w:rsid w:val="00E64B7B"/>
    <w:rsid w:val="00E73D82"/>
    <w:rsid w:val="00E74E7A"/>
    <w:rsid w:val="00E81BE6"/>
    <w:rsid w:val="00E85FA8"/>
    <w:rsid w:val="00E861CB"/>
    <w:rsid w:val="00E9235E"/>
    <w:rsid w:val="00E933FD"/>
    <w:rsid w:val="00E96EB7"/>
    <w:rsid w:val="00EB6AA0"/>
    <w:rsid w:val="00EC1C7B"/>
    <w:rsid w:val="00EC34FE"/>
    <w:rsid w:val="00ED0B05"/>
    <w:rsid w:val="00ED361C"/>
    <w:rsid w:val="00ED38C7"/>
    <w:rsid w:val="00ED6BDA"/>
    <w:rsid w:val="00EE1FAC"/>
    <w:rsid w:val="00EE2599"/>
    <w:rsid w:val="00EE5DAD"/>
    <w:rsid w:val="00F00806"/>
    <w:rsid w:val="00F03D55"/>
    <w:rsid w:val="00F06851"/>
    <w:rsid w:val="00F06CBF"/>
    <w:rsid w:val="00F078EB"/>
    <w:rsid w:val="00F113D6"/>
    <w:rsid w:val="00F11448"/>
    <w:rsid w:val="00F128C4"/>
    <w:rsid w:val="00F1534F"/>
    <w:rsid w:val="00F16EFF"/>
    <w:rsid w:val="00F22AAC"/>
    <w:rsid w:val="00F25DC4"/>
    <w:rsid w:val="00F31F6A"/>
    <w:rsid w:val="00F3220F"/>
    <w:rsid w:val="00F375C5"/>
    <w:rsid w:val="00F43AF7"/>
    <w:rsid w:val="00F44216"/>
    <w:rsid w:val="00F5134E"/>
    <w:rsid w:val="00F529B5"/>
    <w:rsid w:val="00F52CBD"/>
    <w:rsid w:val="00F56543"/>
    <w:rsid w:val="00F62958"/>
    <w:rsid w:val="00F63806"/>
    <w:rsid w:val="00F664CE"/>
    <w:rsid w:val="00F70983"/>
    <w:rsid w:val="00F72E99"/>
    <w:rsid w:val="00F75C88"/>
    <w:rsid w:val="00F84C77"/>
    <w:rsid w:val="00F968C7"/>
    <w:rsid w:val="00FA327D"/>
    <w:rsid w:val="00FB0585"/>
    <w:rsid w:val="00FB2422"/>
    <w:rsid w:val="00FB3C86"/>
    <w:rsid w:val="00FB7A96"/>
    <w:rsid w:val="00FC5F2E"/>
    <w:rsid w:val="00FC6B6C"/>
    <w:rsid w:val="00FD034C"/>
    <w:rsid w:val="00FD0967"/>
    <w:rsid w:val="00FD1593"/>
    <w:rsid w:val="00FE4ACA"/>
    <w:rsid w:val="00FF0E20"/>
    <w:rsid w:val="00FF1852"/>
    <w:rsid w:val="013A6203"/>
    <w:rsid w:val="017618A7"/>
    <w:rsid w:val="01777289"/>
    <w:rsid w:val="01B15133"/>
    <w:rsid w:val="027835EC"/>
    <w:rsid w:val="02860BBE"/>
    <w:rsid w:val="029B212B"/>
    <w:rsid w:val="031339D7"/>
    <w:rsid w:val="03237D94"/>
    <w:rsid w:val="03252101"/>
    <w:rsid w:val="037E4FA9"/>
    <w:rsid w:val="03B924CC"/>
    <w:rsid w:val="03C164C0"/>
    <w:rsid w:val="04401B18"/>
    <w:rsid w:val="048C348A"/>
    <w:rsid w:val="05010A8C"/>
    <w:rsid w:val="05213282"/>
    <w:rsid w:val="056574FA"/>
    <w:rsid w:val="05DD3307"/>
    <w:rsid w:val="05ED7E74"/>
    <w:rsid w:val="06100779"/>
    <w:rsid w:val="062C2926"/>
    <w:rsid w:val="06314BC1"/>
    <w:rsid w:val="067965E5"/>
    <w:rsid w:val="06C7004A"/>
    <w:rsid w:val="06E674CD"/>
    <w:rsid w:val="07196E94"/>
    <w:rsid w:val="07341C95"/>
    <w:rsid w:val="076751E6"/>
    <w:rsid w:val="076865BB"/>
    <w:rsid w:val="07792F86"/>
    <w:rsid w:val="081040CE"/>
    <w:rsid w:val="08251C9B"/>
    <w:rsid w:val="082869C0"/>
    <w:rsid w:val="0854574F"/>
    <w:rsid w:val="086F445E"/>
    <w:rsid w:val="08937DAF"/>
    <w:rsid w:val="0896499B"/>
    <w:rsid w:val="08AB5BE3"/>
    <w:rsid w:val="09037D67"/>
    <w:rsid w:val="0930272D"/>
    <w:rsid w:val="09740CEA"/>
    <w:rsid w:val="09872582"/>
    <w:rsid w:val="09892AEE"/>
    <w:rsid w:val="09A5770D"/>
    <w:rsid w:val="09A812C6"/>
    <w:rsid w:val="09BA01A8"/>
    <w:rsid w:val="0ABA58C1"/>
    <w:rsid w:val="0ABE315F"/>
    <w:rsid w:val="0AE47A84"/>
    <w:rsid w:val="0B6512EF"/>
    <w:rsid w:val="0B6D7313"/>
    <w:rsid w:val="0B74070C"/>
    <w:rsid w:val="0B976EBC"/>
    <w:rsid w:val="0C0343FF"/>
    <w:rsid w:val="0C205072"/>
    <w:rsid w:val="0C4B68FC"/>
    <w:rsid w:val="0C566DBD"/>
    <w:rsid w:val="0C994138"/>
    <w:rsid w:val="0CA158DD"/>
    <w:rsid w:val="0CA3329E"/>
    <w:rsid w:val="0CB76A02"/>
    <w:rsid w:val="0CD5288E"/>
    <w:rsid w:val="0CE60779"/>
    <w:rsid w:val="0CF246AD"/>
    <w:rsid w:val="0CF82C2D"/>
    <w:rsid w:val="0CFD7381"/>
    <w:rsid w:val="0D5B1963"/>
    <w:rsid w:val="0D5D6EA3"/>
    <w:rsid w:val="0D9A5270"/>
    <w:rsid w:val="0DB17A04"/>
    <w:rsid w:val="0DDF5EB6"/>
    <w:rsid w:val="0DEB4C24"/>
    <w:rsid w:val="0DF44DA7"/>
    <w:rsid w:val="0E1E17DB"/>
    <w:rsid w:val="0E315CAA"/>
    <w:rsid w:val="0E340D15"/>
    <w:rsid w:val="0E440DF0"/>
    <w:rsid w:val="0E753F10"/>
    <w:rsid w:val="0E9F04A4"/>
    <w:rsid w:val="0F8B0FD5"/>
    <w:rsid w:val="0F9E5C8A"/>
    <w:rsid w:val="0FC50B2E"/>
    <w:rsid w:val="0FCA5B1A"/>
    <w:rsid w:val="0FCB552E"/>
    <w:rsid w:val="1027625D"/>
    <w:rsid w:val="10A92547"/>
    <w:rsid w:val="1117681D"/>
    <w:rsid w:val="113B445C"/>
    <w:rsid w:val="1152546F"/>
    <w:rsid w:val="11C22C3B"/>
    <w:rsid w:val="11C72BC7"/>
    <w:rsid w:val="11D3316F"/>
    <w:rsid w:val="11F84E89"/>
    <w:rsid w:val="12476C83"/>
    <w:rsid w:val="12493D9F"/>
    <w:rsid w:val="124D00FE"/>
    <w:rsid w:val="12837C1B"/>
    <w:rsid w:val="12F56BA7"/>
    <w:rsid w:val="135E6303"/>
    <w:rsid w:val="138557BE"/>
    <w:rsid w:val="13871D23"/>
    <w:rsid w:val="138E0FA7"/>
    <w:rsid w:val="13BD04EF"/>
    <w:rsid w:val="13D361C4"/>
    <w:rsid w:val="144B3A97"/>
    <w:rsid w:val="1464501B"/>
    <w:rsid w:val="14DD046F"/>
    <w:rsid w:val="15124A26"/>
    <w:rsid w:val="152546DB"/>
    <w:rsid w:val="1525571A"/>
    <w:rsid w:val="1549733C"/>
    <w:rsid w:val="154B7D2F"/>
    <w:rsid w:val="15592FAA"/>
    <w:rsid w:val="1563354F"/>
    <w:rsid w:val="15654596"/>
    <w:rsid w:val="15CC75ED"/>
    <w:rsid w:val="15E066BD"/>
    <w:rsid w:val="16052D9F"/>
    <w:rsid w:val="16056373"/>
    <w:rsid w:val="160F6245"/>
    <w:rsid w:val="161665E9"/>
    <w:rsid w:val="165762CE"/>
    <w:rsid w:val="16D14A3D"/>
    <w:rsid w:val="16D95398"/>
    <w:rsid w:val="16ED4ED0"/>
    <w:rsid w:val="16F36155"/>
    <w:rsid w:val="1721007C"/>
    <w:rsid w:val="17443C0D"/>
    <w:rsid w:val="17573112"/>
    <w:rsid w:val="17622BF1"/>
    <w:rsid w:val="17D15BAA"/>
    <w:rsid w:val="17DB24D5"/>
    <w:rsid w:val="17E83412"/>
    <w:rsid w:val="182677E3"/>
    <w:rsid w:val="18675FAE"/>
    <w:rsid w:val="187452A4"/>
    <w:rsid w:val="188E430B"/>
    <w:rsid w:val="18CA74A5"/>
    <w:rsid w:val="19024F07"/>
    <w:rsid w:val="190D4174"/>
    <w:rsid w:val="1951036B"/>
    <w:rsid w:val="19836C9B"/>
    <w:rsid w:val="19942339"/>
    <w:rsid w:val="19B91603"/>
    <w:rsid w:val="19C442A1"/>
    <w:rsid w:val="19EF056A"/>
    <w:rsid w:val="19F7317B"/>
    <w:rsid w:val="1A3661E8"/>
    <w:rsid w:val="1A3B3680"/>
    <w:rsid w:val="1A426C97"/>
    <w:rsid w:val="1A802D39"/>
    <w:rsid w:val="1A8A1429"/>
    <w:rsid w:val="1AB7642A"/>
    <w:rsid w:val="1ACE370B"/>
    <w:rsid w:val="1AED7852"/>
    <w:rsid w:val="1AF04FB5"/>
    <w:rsid w:val="1B180A24"/>
    <w:rsid w:val="1B2058C9"/>
    <w:rsid w:val="1B4615AF"/>
    <w:rsid w:val="1B510634"/>
    <w:rsid w:val="1B57690F"/>
    <w:rsid w:val="1B585B89"/>
    <w:rsid w:val="1BCB245A"/>
    <w:rsid w:val="1C164AC3"/>
    <w:rsid w:val="1C2650C1"/>
    <w:rsid w:val="1C56063B"/>
    <w:rsid w:val="1C714269"/>
    <w:rsid w:val="1CA07AE2"/>
    <w:rsid w:val="1CC402A6"/>
    <w:rsid w:val="1CEA04AE"/>
    <w:rsid w:val="1D233AD2"/>
    <w:rsid w:val="1D2B10B2"/>
    <w:rsid w:val="1D583A9B"/>
    <w:rsid w:val="1D8305DE"/>
    <w:rsid w:val="1D970E17"/>
    <w:rsid w:val="1DC9210B"/>
    <w:rsid w:val="1DF3374C"/>
    <w:rsid w:val="1E0E4DF6"/>
    <w:rsid w:val="1E571D66"/>
    <w:rsid w:val="1E6A613E"/>
    <w:rsid w:val="1E8257AA"/>
    <w:rsid w:val="1EA11093"/>
    <w:rsid w:val="1EC120E8"/>
    <w:rsid w:val="1EE42ABC"/>
    <w:rsid w:val="1EE73CE0"/>
    <w:rsid w:val="1EEE5AF0"/>
    <w:rsid w:val="1F003A21"/>
    <w:rsid w:val="1F454529"/>
    <w:rsid w:val="1F4F5056"/>
    <w:rsid w:val="1FBA41ED"/>
    <w:rsid w:val="1FDB75D0"/>
    <w:rsid w:val="1FE21774"/>
    <w:rsid w:val="1FFA0FCA"/>
    <w:rsid w:val="201C7D70"/>
    <w:rsid w:val="20564DE3"/>
    <w:rsid w:val="205C33AE"/>
    <w:rsid w:val="20905F1D"/>
    <w:rsid w:val="20950B3D"/>
    <w:rsid w:val="21424D54"/>
    <w:rsid w:val="21A24A92"/>
    <w:rsid w:val="21C26A8E"/>
    <w:rsid w:val="21D23F1D"/>
    <w:rsid w:val="221D2FC2"/>
    <w:rsid w:val="22382223"/>
    <w:rsid w:val="22664321"/>
    <w:rsid w:val="22731DC2"/>
    <w:rsid w:val="228B32A0"/>
    <w:rsid w:val="22A76EBD"/>
    <w:rsid w:val="22C45704"/>
    <w:rsid w:val="22C51607"/>
    <w:rsid w:val="22E3401F"/>
    <w:rsid w:val="230F706C"/>
    <w:rsid w:val="235B0544"/>
    <w:rsid w:val="235B2CCE"/>
    <w:rsid w:val="238D2B25"/>
    <w:rsid w:val="23A73A6D"/>
    <w:rsid w:val="23DF5DD1"/>
    <w:rsid w:val="23E750DA"/>
    <w:rsid w:val="2401618F"/>
    <w:rsid w:val="2419798B"/>
    <w:rsid w:val="245037B6"/>
    <w:rsid w:val="2478049A"/>
    <w:rsid w:val="247D03A2"/>
    <w:rsid w:val="24935B8F"/>
    <w:rsid w:val="249B7495"/>
    <w:rsid w:val="24A85075"/>
    <w:rsid w:val="24D12F72"/>
    <w:rsid w:val="24DE2326"/>
    <w:rsid w:val="2543367D"/>
    <w:rsid w:val="255D07BA"/>
    <w:rsid w:val="25694805"/>
    <w:rsid w:val="25751605"/>
    <w:rsid w:val="25793DEA"/>
    <w:rsid w:val="25BB0DA4"/>
    <w:rsid w:val="25C742B8"/>
    <w:rsid w:val="25C856F0"/>
    <w:rsid w:val="25D25188"/>
    <w:rsid w:val="25DA58D4"/>
    <w:rsid w:val="26375EDB"/>
    <w:rsid w:val="26610C5D"/>
    <w:rsid w:val="266C4989"/>
    <w:rsid w:val="267B5CEF"/>
    <w:rsid w:val="26D341D0"/>
    <w:rsid w:val="26E62D50"/>
    <w:rsid w:val="26F52716"/>
    <w:rsid w:val="27240764"/>
    <w:rsid w:val="27506A77"/>
    <w:rsid w:val="27722E99"/>
    <w:rsid w:val="27B136AA"/>
    <w:rsid w:val="27E515A7"/>
    <w:rsid w:val="28A97B6B"/>
    <w:rsid w:val="28BE14F9"/>
    <w:rsid w:val="28C84276"/>
    <w:rsid w:val="28CD05DF"/>
    <w:rsid w:val="28CE34F6"/>
    <w:rsid w:val="28FA7501"/>
    <w:rsid w:val="290C6C3B"/>
    <w:rsid w:val="294107C9"/>
    <w:rsid w:val="29804D1F"/>
    <w:rsid w:val="29880271"/>
    <w:rsid w:val="29C834B1"/>
    <w:rsid w:val="29CF5000"/>
    <w:rsid w:val="29D6538F"/>
    <w:rsid w:val="29D80D9E"/>
    <w:rsid w:val="29DA663F"/>
    <w:rsid w:val="29DB5DD5"/>
    <w:rsid w:val="2A091126"/>
    <w:rsid w:val="2A3429B2"/>
    <w:rsid w:val="2A3E1597"/>
    <w:rsid w:val="2A8A20AC"/>
    <w:rsid w:val="2AB7048C"/>
    <w:rsid w:val="2AD72711"/>
    <w:rsid w:val="2B3D516B"/>
    <w:rsid w:val="2B466C50"/>
    <w:rsid w:val="2B5B2422"/>
    <w:rsid w:val="2B825E5C"/>
    <w:rsid w:val="2BC06AC4"/>
    <w:rsid w:val="2BC2048D"/>
    <w:rsid w:val="2BE526DA"/>
    <w:rsid w:val="2C1B17CA"/>
    <w:rsid w:val="2C5365DE"/>
    <w:rsid w:val="2C927997"/>
    <w:rsid w:val="2CC76930"/>
    <w:rsid w:val="2CDD4C32"/>
    <w:rsid w:val="2D2E5EA7"/>
    <w:rsid w:val="2D665C6D"/>
    <w:rsid w:val="2DA3685E"/>
    <w:rsid w:val="2DAE79D1"/>
    <w:rsid w:val="2DB52187"/>
    <w:rsid w:val="2DB66BFC"/>
    <w:rsid w:val="2DB90AD1"/>
    <w:rsid w:val="2DDA6A33"/>
    <w:rsid w:val="2DF55893"/>
    <w:rsid w:val="2E0F76D2"/>
    <w:rsid w:val="2E85022C"/>
    <w:rsid w:val="2EA26DCB"/>
    <w:rsid w:val="2F62594A"/>
    <w:rsid w:val="2F655D7D"/>
    <w:rsid w:val="2F702753"/>
    <w:rsid w:val="2F707492"/>
    <w:rsid w:val="2F975532"/>
    <w:rsid w:val="2FA27197"/>
    <w:rsid w:val="30151597"/>
    <w:rsid w:val="30215C61"/>
    <w:rsid w:val="3075311F"/>
    <w:rsid w:val="307F6863"/>
    <w:rsid w:val="31064879"/>
    <w:rsid w:val="31176AC2"/>
    <w:rsid w:val="314421DB"/>
    <w:rsid w:val="31692709"/>
    <w:rsid w:val="316B4522"/>
    <w:rsid w:val="3195310B"/>
    <w:rsid w:val="31A812D2"/>
    <w:rsid w:val="31B6083C"/>
    <w:rsid w:val="31B77480"/>
    <w:rsid w:val="31C11785"/>
    <w:rsid w:val="32983FD2"/>
    <w:rsid w:val="32A620B0"/>
    <w:rsid w:val="32D80E50"/>
    <w:rsid w:val="33031C47"/>
    <w:rsid w:val="33432908"/>
    <w:rsid w:val="33D8528C"/>
    <w:rsid w:val="34083BE8"/>
    <w:rsid w:val="344A5C51"/>
    <w:rsid w:val="344E3883"/>
    <w:rsid w:val="34527A81"/>
    <w:rsid w:val="34722E54"/>
    <w:rsid w:val="34A050C0"/>
    <w:rsid w:val="34C11FA6"/>
    <w:rsid w:val="34CA4338"/>
    <w:rsid w:val="352C4768"/>
    <w:rsid w:val="355B254F"/>
    <w:rsid w:val="35BE4DD1"/>
    <w:rsid w:val="35CB19EB"/>
    <w:rsid w:val="35D0730E"/>
    <w:rsid w:val="36087AA5"/>
    <w:rsid w:val="36223AAB"/>
    <w:rsid w:val="362458FF"/>
    <w:rsid w:val="363625BD"/>
    <w:rsid w:val="367009DF"/>
    <w:rsid w:val="367C4F01"/>
    <w:rsid w:val="369A0DF8"/>
    <w:rsid w:val="36B55AE3"/>
    <w:rsid w:val="36CD405A"/>
    <w:rsid w:val="36F5297C"/>
    <w:rsid w:val="36F91FFB"/>
    <w:rsid w:val="373D7A2A"/>
    <w:rsid w:val="37930A52"/>
    <w:rsid w:val="37FA1CED"/>
    <w:rsid w:val="38373A52"/>
    <w:rsid w:val="38777ADB"/>
    <w:rsid w:val="393F73A4"/>
    <w:rsid w:val="39433EC6"/>
    <w:rsid w:val="395E0459"/>
    <w:rsid w:val="395F7E15"/>
    <w:rsid w:val="398E2B22"/>
    <w:rsid w:val="39CE4184"/>
    <w:rsid w:val="39DF79C1"/>
    <w:rsid w:val="39E54760"/>
    <w:rsid w:val="39F67E4E"/>
    <w:rsid w:val="39F93F12"/>
    <w:rsid w:val="3A171D58"/>
    <w:rsid w:val="3A4E2736"/>
    <w:rsid w:val="3A6E51F7"/>
    <w:rsid w:val="3AAB1854"/>
    <w:rsid w:val="3ADE469F"/>
    <w:rsid w:val="3B4200D0"/>
    <w:rsid w:val="3B4F27C8"/>
    <w:rsid w:val="3B542AB5"/>
    <w:rsid w:val="3B543244"/>
    <w:rsid w:val="3B59554F"/>
    <w:rsid w:val="3B607BBB"/>
    <w:rsid w:val="3B8F3F8D"/>
    <w:rsid w:val="3BB4007F"/>
    <w:rsid w:val="3BF16745"/>
    <w:rsid w:val="3BF5359A"/>
    <w:rsid w:val="3C3A6FB9"/>
    <w:rsid w:val="3C411E4A"/>
    <w:rsid w:val="3C5D51B5"/>
    <w:rsid w:val="3C7219DA"/>
    <w:rsid w:val="3C76242C"/>
    <w:rsid w:val="3CA9224B"/>
    <w:rsid w:val="3CB70017"/>
    <w:rsid w:val="3CB87BDC"/>
    <w:rsid w:val="3D3E3A6A"/>
    <w:rsid w:val="3D4D7E6F"/>
    <w:rsid w:val="3D6D59A1"/>
    <w:rsid w:val="3DA215EF"/>
    <w:rsid w:val="3DA91C2A"/>
    <w:rsid w:val="3DB93CB9"/>
    <w:rsid w:val="3DB97D2C"/>
    <w:rsid w:val="3DF23FF5"/>
    <w:rsid w:val="3DFC125E"/>
    <w:rsid w:val="3E074D86"/>
    <w:rsid w:val="3E126C5D"/>
    <w:rsid w:val="3E2F38AC"/>
    <w:rsid w:val="3E3C0F87"/>
    <w:rsid w:val="3E4B6D3F"/>
    <w:rsid w:val="3E934CE5"/>
    <w:rsid w:val="3F461E8D"/>
    <w:rsid w:val="3F47212A"/>
    <w:rsid w:val="3F4858AE"/>
    <w:rsid w:val="3F554468"/>
    <w:rsid w:val="3F655E04"/>
    <w:rsid w:val="3F6D2601"/>
    <w:rsid w:val="3F71493A"/>
    <w:rsid w:val="3F7C3993"/>
    <w:rsid w:val="3F7F6060"/>
    <w:rsid w:val="3F99687C"/>
    <w:rsid w:val="3FC11643"/>
    <w:rsid w:val="3FD55BCD"/>
    <w:rsid w:val="401330C9"/>
    <w:rsid w:val="40202614"/>
    <w:rsid w:val="402B5804"/>
    <w:rsid w:val="40451299"/>
    <w:rsid w:val="40693770"/>
    <w:rsid w:val="409418D9"/>
    <w:rsid w:val="409B69B3"/>
    <w:rsid w:val="40B9274F"/>
    <w:rsid w:val="40CC23D6"/>
    <w:rsid w:val="40EB4B47"/>
    <w:rsid w:val="410C48E5"/>
    <w:rsid w:val="41316BC6"/>
    <w:rsid w:val="41692875"/>
    <w:rsid w:val="41800269"/>
    <w:rsid w:val="418E25CF"/>
    <w:rsid w:val="41A17412"/>
    <w:rsid w:val="41B70ECE"/>
    <w:rsid w:val="41FF1E21"/>
    <w:rsid w:val="421E62E8"/>
    <w:rsid w:val="422B6866"/>
    <w:rsid w:val="42326038"/>
    <w:rsid w:val="4298432F"/>
    <w:rsid w:val="4299137F"/>
    <w:rsid w:val="42AC3B8C"/>
    <w:rsid w:val="42C65CED"/>
    <w:rsid w:val="432A6DD1"/>
    <w:rsid w:val="435B20CB"/>
    <w:rsid w:val="4382240D"/>
    <w:rsid w:val="440C10B4"/>
    <w:rsid w:val="44300875"/>
    <w:rsid w:val="4431188B"/>
    <w:rsid w:val="443D3D4B"/>
    <w:rsid w:val="44575CD8"/>
    <w:rsid w:val="44897B61"/>
    <w:rsid w:val="44933B8C"/>
    <w:rsid w:val="44B069D6"/>
    <w:rsid w:val="44CD42A5"/>
    <w:rsid w:val="44CF3CC2"/>
    <w:rsid w:val="451E64DF"/>
    <w:rsid w:val="45BA43CF"/>
    <w:rsid w:val="460221E2"/>
    <w:rsid w:val="46406518"/>
    <w:rsid w:val="465C0097"/>
    <w:rsid w:val="466C06C8"/>
    <w:rsid w:val="467C422D"/>
    <w:rsid w:val="469B1C9A"/>
    <w:rsid w:val="46A51BDF"/>
    <w:rsid w:val="46D50A85"/>
    <w:rsid w:val="46EA7774"/>
    <w:rsid w:val="470244F1"/>
    <w:rsid w:val="47192727"/>
    <w:rsid w:val="47480DED"/>
    <w:rsid w:val="476D6A94"/>
    <w:rsid w:val="478A15F2"/>
    <w:rsid w:val="47B779F5"/>
    <w:rsid w:val="47DC7B97"/>
    <w:rsid w:val="481B4093"/>
    <w:rsid w:val="482F37FD"/>
    <w:rsid w:val="485B3FA0"/>
    <w:rsid w:val="485F3B35"/>
    <w:rsid w:val="48676321"/>
    <w:rsid w:val="48810886"/>
    <w:rsid w:val="488A4FC7"/>
    <w:rsid w:val="48C70D1A"/>
    <w:rsid w:val="48CF51B1"/>
    <w:rsid w:val="48DE1AF1"/>
    <w:rsid w:val="494A63CD"/>
    <w:rsid w:val="496543A3"/>
    <w:rsid w:val="49674593"/>
    <w:rsid w:val="4982155B"/>
    <w:rsid w:val="49AF593D"/>
    <w:rsid w:val="49EE58FA"/>
    <w:rsid w:val="49EF0655"/>
    <w:rsid w:val="4A1D4319"/>
    <w:rsid w:val="4AC47F1A"/>
    <w:rsid w:val="4AC847DE"/>
    <w:rsid w:val="4AD24A96"/>
    <w:rsid w:val="4ADB1A5D"/>
    <w:rsid w:val="4AF05EE0"/>
    <w:rsid w:val="4B885C88"/>
    <w:rsid w:val="4B9672AA"/>
    <w:rsid w:val="4BA22A34"/>
    <w:rsid w:val="4BAF1538"/>
    <w:rsid w:val="4BC62738"/>
    <w:rsid w:val="4BC70981"/>
    <w:rsid w:val="4C411FA2"/>
    <w:rsid w:val="4C425D15"/>
    <w:rsid w:val="4C5B050E"/>
    <w:rsid w:val="4CB6402A"/>
    <w:rsid w:val="4CC10E98"/>
    <w:rsid w:val="4DA433F3"/>
    <w:rsid w:val="4DA7628F"/>
    <w:rsid w:val="4DBC0408"/>
    <w:rsid w:val="4DC0276F"/>
    <w:rsid w:val="4E6C7EFD"/>
    <w:rsid w:val="4E6E1990"/>
    <w:rsid w:val="4E916980"/>
    <w:rsid w:val="4ECD3143"/>
    <w:rsid w:val="4EFF2331"/>
    <w:rsid w:val="4F0A6B15"/>
    <w:rsid w:val="4F2E57D3"/>
    <w:rsid w:val="4F647B68"/>
    <w:rsid w:val="4F666D91"/>
    <w:rsid w:val="4F951821"/>
    <w:rsid w:val="4F96184D"/>
    <w:rsid w:val="4FC44826"/>
    <w:rsid w:val="4FF20ACF"/>
    <w:rsid w:val="50310F78"/>
    <w:rsid w:val="504951B1"/>
    <w:rsid w:val="50571821"/>
    <w:rsid w:val="506D0B40"/>
    <w:rsid w:val="50926E75"/>
    <w:rsid w:val="50DB76E9"/>
    <w:rsid w:val="50F91786"/>
    <w:rsid w:val="50FA63C1"/>
    <w:rsid w:val="51144397"/>
    <w:rsid w:val="5124009D"/>
    <w:rsid w:val="512C717F"/>
    <w:rsid w:val="51643E40"/>
    <w:rsid w:val="51DB5574"/>
    <w:rsid w:val="51F07CE1"/>
    <w:rsid w:val="521B2EC5"/>
    <w:rsid w:val="523577C1"/>
    <w:rsid w:val="524E2C3F"/>
    <w:rsid w:val="52593598"/>
    <w:rsid w:val="52751B6E"/>
    <w:rsid w:val="530945D1"/>
    <w:rsid w:val="53844BAA"/>
    <w:rsid w:val="541B475A"/>
    <w:rsid w:val="5429684F"/>
    <w:rsid w:val="5459707A"/>
    <w:rsid w:val="548B3322"/>
    <w:rsid w:val="54A0018C"/>
    <w:rsid w:val="54A54677"/>
    <w:rsid w:val="54B32B16"/>
    <w:rsid w:val="54BD11B4"/>
    <w:rsid w:val="55A05995"/>
    <w:rsid w:val="55DA1A2A"/>
    <w:rsid w:val="55EA017E"/>
    <w:rsid w:val="562B5754"/>
    <w:rsid w:val="56353B76"/>
    <w:rsid w:val="565755B1"/>
    <w:rsid w:val="5661598C"/>
    <w:rsid w:val="56765469"/>
    <w:rsid w:val="569548C1"/>
    <w:rsid w:val="56967A6A"/>
    <w:rsid w:val="56992E8B"/>
    <w:rsid w:val="56A569BE"/>
    <w:rsid w:val="56AA4640"/>
    <w:rsid w:val="56D058E9"/>
    <w:rsid w:val="56F26BD7"/>
    <w:rsid w:val="56FE06BA"/>
    <w:rsid w:val="572A34FE"/>
    <w:rsid w:val="573B32E9"/>
    <w:rsid w:val="575D683F"/>
    <w:rsid w:val="57F5070C"/>
    <w:rsid w:val="58457282"/>
    <w:rsid w:val="58472531"/>
    <w:rsid w:val="58522A12"/>
    <w:rsid w:val="58600BB2"/>
    <w:rsid w:val="58816FEE"/>
    <w:rsid w:val="58B94806"/>
    <w:rsid w:val="59062DAF"/>
    <w:rsid w:val="590A58AD"/>
    <w:rsid w:val="59353D94"/>
    <w:rsid w:val="594A7037"/>
    <w:rsid w:val="59643C2D"/>
    <w:rsid w:val="59872E9B"/>
    <w:rsid w:val="59A26786"/>
    <w:rsid w:val="5A007832"/>
    <w:rsid w:val="5A4D6691"/>
    <w:rsid w:val="5A503C84"/>
    <w:rsid w:val="5A722EBC"/>
    <w:rsid w:val="5A825B7B"/>
    <w:rsid w:val="5AA44FF7"/>
    <w:rsid w:val="5AA8684A"/>
    <w:rsid w:val="5AAB702E"/>
    <w:rsid w:val="5AD260F0"/>
    <w:rsid w:val="5AD7419C"/>
    <w:rsid w:val="5AF0321E"/>
    <w:rsid w:val="5B0B68D7"/>
    <w:rsid w:val="5B151309"/>
    <w:rsid w:val="5B176B93"/>
    <w:rsid w:val="5B286E5C"/>
    <w:rsid w:val="5B2F64A2"/>
    <w:rsid w:val="5B525671"/>
    <w:rsid w:val="5B58688C"/>
    <w:rsid w:val="5B761F29"/>
    <w:rsid w:val="5BDB6611"/>
    <w:rsid w:val="5C13428B"/>
    <w:rsid w:val="5C1416E8"/>
    <w:rsid w:val="5C2E7918"/>
    <w:rsid w:val="5C3E59DA"/>
    <w:rsid w:val="5C4D3068"/>
    <w:rsid w:val="5C50755F"/>
    <w:rsid w:val="5C745933"/>
    <w:rsid w:val="5C790D44"/>
    <w:rsid w:val="5CA25698"/>
    <w:rsid w:val="5CCA3128"/>
    <w:rsid w:val="5CE67202"/>
    <w:rsid w:val="5CF905D4"/>
    <w:rsid w:val="5D10418D"/>
    <w:rsid w:val="5D1A2209"/>
    <w:rsid w:val="5D2561C1"/>
    <w:rsid w:val="5D355BAE"/>
    <w:rsid w:val="5D39399A"/>
    <w:rsid w:val="5D3A73F7"/>
    <w:rsid w:val="5D4078F8"/>
    <w:rsid w:val="5D8E735D"/>
    <w:rsid w:val="5DA11C2E"/>
    <w:rsid w:val="5DA8007C"/>
    <w:rsid w:val="5DBA0EC9"/>
    <w:rsid w:val="5DC97E5B"/>
    <w:rsid w:val="5DEB4F7C"/>
    <w:rsid w:val="5DF213B8"/>
    <w:rsid w:val="5DF21758"/>
    <w:rsid w:val="5E3157CA"/>
    <w:rsid w:val="5E3A34C4"/>
    <w:rsid w:val="5E403A85"/>
    <w:rsid w:val="5E466F0D"/>
    <w:rsid w:val="5E826AB6"/>
    <w:rsid w:val="5EA43111"/>
    <w:rsid w:val="5EBE3065"/>
    <w:rsid w:val="5EC31526"/>
    <w:rsid w:val="5EC37FE8"/>
    <w:rsid w:val="5EC8340A"/>
    <w:rsid w:val="5EDA408F"/>
    <w:rsid w:val="5EF85011"/>
    <w:rsid w:val="5F062F93"/>
    <w:rsid w:val="5F1C7C33"/>
    <w:rsid w:val="5F7050AA"/>
    <w:rsid w:val="5F973D2B"/>
    <w:rsid w:val="5FC365FE"/>
    <w:rsid w:val="5FC77DDB"/>
    <w:rsid w:val="5FF1465D"/>
    <w:rsid w:val="60546DF8"/>
    <w:rsid w:val="606903EE"/>
    <w:rsid w:val="607106F3"/>
    <w:rsid w:val="60DC33B0"/>
    <w:rsid w:val="60DE7A31"/>
    <w:rsid w:val="613E16B9"/>
    <w:rsid w:val="61550D04"/>
    <w:rsid w:val="616824FC"/>
    <w:rsid w:val="616B230C"/>
    <w:rsid w:val="61C83318"/>
    <w:rsid w:val="625F596E"/>
    <w:rsid w:val="6284061A"/>
    <w:rsid w:val="630C1993"/>
    <w:rsid w:val="634A346E"/>
    <w:rsid w:val="636704C4"/>
    <w:rsid w:val="636F3C85"/>
    <w:rsid w:val="63C4650E"/>
    <w:rsid w:val="63D21B8B"/>
    <w:rsid w:val="63F9048C"/>
    <w:rsid w:val="63FA5519"/>
    <w:rsid w:val="64053A4C"/>
    <w:rsid w:val="641E1B02"/>
    <w:rsid w:val="642E0775"/>
    <w:rsid w:val="64367FA7"/>
    <w:rsid w:val="643E1375"/>
    <w:rsid w:val="647D09F3"/>
    <w:rsid w:val="648426AC"/>
    <w:rsid w:val="64AF6524"/>
    <w:rsid w:val="64B97F0E"/>
    <w:rsid w:val="64BA60DF"/>
    <w:rsid w:val="64C645A8"/>
    <w:rsid w:val="64D132C7"/>
    <w:rsid w:val="64DA116A"/>
    <w:rsid w:val="64F41A5E"/>
    <w:rsid w:val="64FF1938"/>
    <w:rsid w:val="64FF733E"/>
    <w:rsid w:val="65257B29"/>
    <w:rsid w:val="654B14FD"/>
    <w:rsid w:val="65EE1C71"/>
    <w:rsid w:val="65FD5B39"/>
    <w:rsid w:val="660A10DF"/>
    <w:rsid w:val="661A4129"/>
    <w:rsid w:val="66285F62"/>
    <w:rsid w:val="664B153A"/>
    <w:rsid w:val="668D3DDE"/>
    <w:rsid w:val="66D52629"/>
    <w:rsid w:val="66E3182A"/>
    <w:rsid w:val="67053051"/>
    <w:rsid w:val="67116EE8"/>
    <w:rsid w:val="671D0182"/>
    <w:rsid w:val="676A25B9"/>
    <w:rsid w:val="677D00A6"/>
    <w:rsid w:val="67867F9F"/>
    <w:rsid w:val="67952EDE"/>
    <w:rsid w:val="67A713A0"/>
    <w:rsid w:val="67B56F3E"/>
    <w:rsid w:val="67CF3450"/>
    <w:rsid w:val="67EC53F1"/>
    <w:rsid w:val="67F04F5D"/>
    <w:rsid w:val="67F51E75"/>
    <w:rsid w:val="6817241E"/>
    <w:rsid w:val="682B61F4"/>
    <w:rsid w:val="682C383A"/>
    <w:rsid w:val="686C2BC2"/>
    <w:rsid w:val="687106FE"/>
    <w:rsid w:val="687C60DB"/>
    <w:rsid w:val="68B75065"/>
    <w:rsid w:val="68BF4CC8"/>
    <w:rsid w:val="68DA3E63"/>
    <w:rsid w:val="69291039"/>
    <w:rsid w:val="698A1882"/>
    <w:rsid w:val="699006A4"/>
    <w:rsid w:val="6A0A4A4E"/>
    <w:rsid w:val="6A15340F"/>
    <w:rsid w:val="6A1C7204"/>
    <w:rsid w:val="6A23467A"/>
    <w:rsid w:val="6A5F3186"/>
    <w:rsid w:val="6A776BEA"/>
    <w:rsid w:val="6AE91813"/>
    <w:rsid w:val="6B0A0572"/>
    <w:rsid w:val="6B1C39B2"/>
    <w:rsid w:val="6BCE5BD6"/>
    <w:rsid w:val="6BDC7878"/>
    <w:rsid w:val="6C385D0C"/>
    <w:rsid w:val="6C580B67"/>
    <w:rsid w:val="6C9929A0"/>
    <w:rsid w:val="6CA7143A"/>
    <w:rsid w:val="6CDB0B8B"/>
    <w:rsid w:val="6CF71F00"/>
    <w:rsid w:val="6CFA5DC7"/>
    <w:rsid w:val="6D1534D0"/>
    <w:rsid w:val="6D767A10"/>
    <w:rsid w:val="6DB91ACB"/>
    <w:rsid w:val="6DC76106"/>
    <w:rsid w:val="6DE5298B"/>
    <w:rsid w:val="6DFC3099"/>
    <w:rsid w:val="6E144266"/>
    <w:rsid w:val="6E166FE8"/>
    <w:rsid w:val="6E2F366F"/>
    <w:rsid w:val="6E33774B"/>
    <w:rsid w:val="6E682ADF"/>
    <w:rsid w:val="6E6B4C9A"/>
    <w:rsid w:val="6EE478E4"/>
    <w:rsid w:val="6EF0416A"/>
    <w:rsid w:val="6F160F6D"/>
    <w:rsid w:val="6F233AF8"/>
    <w:rsid w:val="6F46015B"/>
    <w:rsid w:val="6FA733C0"/>
    <w:rsid w:val="6FE655BF"/>
    <w:rsid w:val="700F3F18"/>
    <w:rsid w:val="70103880"/>
    <w:rsid w:val="70292D19"/>
    <w:rsid w:val="70EC3F63"/>
    <w:rsid w:val="71146922"/>
    <w:rsid w:val="71B959FF"/>
    <w:rsid w:val="71DD2094"/>
    <w:rsid w:val="71DE0646"/>
    <w:rsid w:val="71ED1010"/>
    <w:rsid w:val="723F184F"/>
    <w:rsid w:val="725355FC"/>
    <w:rsid w:val="72763C88"/>
    <w:rsid w:val="729A60BE"/>
    <w:rsid w:val="729C0B15"/>
    <w:rsid w:val="72B71C19"/>
    <w:rsid w:val="72BD408D"/>
    <w:rsid w:val="72E21997"/>
    <w:rsid w:val="732523C3"/>
    <w:rsid w:val="73353AA7"/>
    <w:rsid w:val="733D02AA"/>
    <w:rsid w:val="734349D2"/>
    <w:rsid w:val="735D7865"/>
    <w:rsid w:val="73792CB9"/>
    <w:rsid w:val="73834AF5"/>
    <w:rsid w:val="738D1B63"/>
    <w:rsid w:val="73903E4A"/>
    <w:rsid w:val="73913479"/>
    <w:rsid w:val="73A04B6C"/>
    <w:rsid w:val="73A27A7F"/>
    <w:rsid w:val="73B152BB"/>
    <w:rsid w:val="73F1762E"/>
    <w:rsid w:val="741E747F"/>
    <w:rsid w:val="74205731"/>
    <w:rsid w:val="74286C90"/>
    <w:rsid w:val="745723F0"/>
    <w:rsid w:val="745E1DFA"/>
    <w:rsid w:val="7463285B"/>
    <w:rsid w:val="74694F87"/>
    <w:rsid w:val="747D5E60"/>
    <w:rsid w:val="74881E6A"/>
    <w:rsid w:val="74F62EAD"/>
    <w:rsid w:val="74F84D57"/>
    <w:rsid w:val="750B562C"/>
    <w:rsid w:val="755E45BE"/>
    <w:rsid w:val="756D6D2E"/>
    <w:rsid w:val="75C1120F"/>
    <w:rsid w:val="75E73F5E"/>
    <w:rsid w:val="761C613B"/>
    <w:rsid w:val="762A496A"/>
    <w:rsid w:val="76346191"/>
    <w:rsid w:val="76417B13"/>
    <w:rsid w:val="768953D3"/>
    <w:rsid w:val="76B90CE6"/>
    <w:rsid w:val="76E31982"/>
    <w:rsid w:val="770A0A59"/>
    <w:rsid w:val="7752770C"/>
    <w:rsid w:val="77583FB8"/>
    <w:rsid w:val="777B2DD4"/>
    <w:rsid w:val="77D0639B"/>
    <w:rsid w:val="77D0750A"/>
    <w:rsid w:val="77D9732C"/>
    <w:rsid w:val="780C12FC"/>
    <w:rsid w:val="781F5263"/>
    <w:rsid w:val="78E921C7"/>
    <w:rsid w:val="790F2021"/>
    <w:rsid w:val="793648FD"/>
    <w:rsid w:val="79456FA3"/>
    <w:rsid w:val="796E5308"/>
    <w:rsid w:val="799C3AC5"/>
    <w:rsid w:val="79A060AC"/>
    <w:rsid w:val="79CC053A"/>
    <w:rsid w:val="79CE5F89"/>
    <w:rsid w:val="7A001FFD"/>
    <w:rsid w:val="7A715F82"/>
    <w:rsid w:val="7A887558"/>
    <w:rsid w:val="7A894D82"/>
    <w:rsid w:val="7A8B0072"/>
    <w:rsid w:val="7AB726DC"/>
    <w:rsid w:val="7AD36C08"/>
    <w:rsid w:val="7ADC54F8"/>
    <w:rsid w:val="7AF37268"/>
    <w:rsid w:val="7B04137A"/>
    <w:rsid w:val="7B0475C5"/>
    <w:rsid w:val="7B2A17D7"/>
    <w:rsid w:val="7B48798C"/>
    <w:rsid w:val="7B5400D2"/>
    <w:rsid w:val="7BCC201B"/>
    <w:rsid w:val="7C1245BC"/>
    <w:rsid w:val="7C180900"/>
    <w:rsid w:val="7C805203"/>
    <w:rsid w:val="7CAE6E60"/>
    <w:rsid w:val="7CB87620"/>
    <w:rsid w:val="7CCB6F25"/>
    <w:rsid w:val="7CF33372"/>
    <w:rsid w:val="7D276A6A"/>
    <w:rsid w:val="7D3C4C0C"/>
    <w:rsid w:val="7D6127A1"/>
    <w:rsid w:val="7D8D6609"/>
    <w:rsid w:val="7D8E2248"/>
    <w:rsid w:val="7D9220D9"/>
    <w:rsid w:val="7DA62A4D"/>
    <w:rsid w:val="7DD968B2"/>
    <w:rsid w:val="7DE91472"/>
    <w:rsid w:val="7DF73BD2"/>
    <w:rsid w:val="7E155AE2"/>
    <w:rsid w:val="7E290F81"/>
    <w:rsid w:val="7E345DFB"/>
    <w:rsid w:val="7E850A22"/>
    <w:rsid w:val="7EAD5B26"/>
    <w:rsid w:val="7EBD173A"/>
    <w:rsid w:val="7EDE2899"/>
    <w:rsid w:val="7EE126C3"/>
    <w:rsid w:val="7EF63C2E"/>
    <w:rsid w:val="7F0A6131"/>
    <w:rsid w:val="7F17064C"/>
    <w:rsid w:val="7F201723"/>
    <w:rsid w:val="7F2E1F94"/>
    <w:rsid w:val="7F895CA5"/>
    <w:rsid w:val="7F8961A0"/>
    <w:rsid w:val="7F9055E7"/>
    <w:rsid w:val="7F973E85"/>
    <w:rsid w:val="7FA61017"/>
    <w:rsid w:val="7FA75F04"/>
    <w:rsid w:val="7FB47D3C"/>
    <w:rsid w:val="CF6D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sz w:val="24"/>
      <w:lang w:val="en-US" w:eastAsia="zh-CN" w:bidi="ar-SA"/>
    </w:rPr>
  </w:style>
  <w:style w:type="paragraph" w:styleId="2">
    <w:name w:val="heading 1"/>
    <w:basedOn w:val="1"/>
    <w:next w:val="1"/>
    <w:link w:val="83"/>
    <w:qFormat/>
    <w:uiPriority w:val="0"/>
    <w:pPr>
      <w:keepNext/>
      <w:keepLines/>
      <w:spacing w:line="240" w:lineRule="auto"/>
      <w:ind w:firstLine="0" w:firstLineChars="0"/>
      <w:jc w:val="center"/>
      <w:outlineLvl w:val="0"/>
    </w:pPr>
    <w:rPr>
      <w:b/>
      <w:bCs/>
      <w:kern w:val="44"/>
      <w:sz w:val="36"/>
      <w:szCs w:val="44"/>
    </w:rPr>
  </w:style>
  <w:style w:type="paragraph" w:styleId="3">
    <w:name w:val="heading 2"/>
    <w:basedOn w:val="1"/>
    <w:next w:val="4"/>
    <w:link w:val="85"/>
    <w:qFormat/>
    <w:uiPriority w:val="0"/>
    <w:pPr>
      <w:keepNext/>
      <w:keepLines/>
      <w:ind w:firstLine="602"/>
      <w:jc w:val="left"/>
      <w:outlineLvl w:val="1"/>
    </w:pPr>
    <w:rPr>
      <w:b/>
      <w:bCs/>
      <w:kern w:val="2"/>
      <w:sz w:val="30"/>
      <w:szCs w:val="30"/>
    </w:rPr>
  </w:style>
  <w:style w:type="paragraph" w:styleId="5">
    <w:name w:val="heading 3"/>
    <w:basedOn w:val="1"/>
    <w:next w:val="6"/>
    <w:link w:val="102"/>
    <w:qFormat/>
    <w:uiPriority w:val="0"/>
    <w:pPr>
      <w:keepNext/>
      <w:keepLines/>
      <w:ind w:firstLine="480"/>
      <w:outlineLvl w:val="2"/>
    </w:pPr>
    <w:rPr>
      <w:b/>
      <w:kern w:val="2"/>
      <w:sz w:val="28"/>
      <w:szCs w:val="28"/>
    </w:rPr>
  </w:style>
  <w:style w:type="paragraph" w:styleId="7">
    <w:name w:val="heading 4"/>
    <w:basedOn w:val="1"/>
    <w:next w:val="1"/>
    <w:link w:val="80"/>
    <w:qFormat/>
    <w:uiPriority w:val="0"/>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6"/>
    <w:link w:val="73"/>
    <w:qFormat/>
    <w:uiPriority w:val="0"/>
    <w:pPr>
      <w:keepNext/>
      <w:keepLines/>
      <w:spacing w:before="280" w:after="290" w:line="376" w:lineRule="auto"/>
      <w:ind w:firstLine="0"/>
      <w:outlineLvl w:val="4"/>
    </w:pPr>
    <w:rPr>
      <w:b/>
      <w:kern w:val="2"/>
      <w:sz w:val="28"/>
      <w:szCs w:val="24"/>
    </w:rPr>
  </w:style>
  <w:style w:type="paragraph" w:styleId="9">
    <w:name w:val="heading 6"/>
    <w:basedOn w:val="1"/>
    <w:next w:val="6"/>
    <w:link w:val="59"/>
    <w:qFormat/>
    <w:uiPriority w:val="0"/>
    <w:pPr>
      <w:keepNext/>
      <w:keepLines/>
      <w:spacing w:before="240" w:after="64" w:line="320" w:lineRule="auto"/>
      <w:ind w:firstLine="0"/>
      <w:outlineLvl w:val="5"/>
    </w:pPr>
    <w:rPr>
      <w:rFonts w:ascii="Arial" w:hAnsi="Arial" w:eastAsia="黑体"/>
      <w:b/>
      <w:kern w:val="2"/>
      <w:szCs w:val="24"/>
    </w:rPr>
  </w:style>
  <w:style w:type="paragraph" w:styleId="10">
    <w:name w:val="heading 7"/>
    <w:basedOn w:val="1"/>
    <w:next w:val="6"/>
    <w:link w:val="55"/>
    <w:qFormat/>
    <w:uiPriority w:val="0"/>
    <w:pPr>
      <w:keepNext/>
      <w:keepLines/>
      <w:spacing w:before="240" w:after="64" w:line="320" w:lineRule="auto"/>
      <w:ind w:firstLine="0"/>
      <w:outlineLvl w:val="6"/>
    </w:pPr>
    <w:rPr>
      <w:b/>
      <w:kern w:val="2"/>
      <w:szCs w:val="24"/>
    </w:rPr>
  </w:style>
  <w:style w:type="paragraph" w:styleId="11">
    <w:name w:val="heading 8"/>
    <w:basedOn w:val="1"/>
    <w:next w:val="6"/>
    <w:link w:val="97"/>
    <w:qFormat/>
    <w:uiPriority w:val="0"/>
    <w:pPr>
      <w:keepNext/>
      <w:keepLines/>
      <w:spacing w:before="240" w:after="64" w:line="320" w:lineRule="auto"/>
      <w:ind w:firstLine="0"/>
      <w:outlineLvl w:val="7"/>
    </w:pPr>
    <w:rPr>
      <w:rFonts w:ascii="Arial" w:hAnsi="Arial" w:eastAsia="黑体"/>
      <w:kern w:val="2"/>
      <w:szCs w:val="24"/>
    </w:rPr>
  </w:style>
  <w:style w:type="paragraph" w:styleId="12">
    <w:name w:val="heading 9"/>
    <w:basedOn w:val="1"/>
    <w:next w:val="6"/>
    <w:link w:val="57"/>
    <w:qFormat/>
    <w:uiPriority w:val="0"/>
    <w:pPr>
      <w:keepNext/>
      <w:keepLines/>
      <w:spacing w:before="240" w:after="64" w:line="320" w:lineRule="auto"/>
      <w:ind w:firstLine="0"/>
      <w:outlineLvl w:val="8"/>
    </w:pPr>
    <w:rPr>
      <w:rFonts w:ascii="Arial" w:hAnsi="Arial" w:eastAsia="黑体"/>
      <w:kern w:val="2"/>
      <w:sz w:val="21"/>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4">
    <w:name w:val="标准文本"/>
    <w:basedOn w:val="1"/>
    <w:qFormat/>
    <w:uiPriority w:val="0"/>
    <w:pPr>
      <w:ind w:firstLine="480"/>
    </w:pPr>
    <w:rPr>
      <w:rFonts w:cs="宋体"/>
    </w:rPr>
  </w:style>
  <w:style w:type="paragraph" w:styleId="6">
    <w:name w:val="Normal Indent"/>
    <w:basedOn w:val="1"/>
    <w:qFormat/>
    <w:uiPriority w:val="0"/>
    <w:pPr>
      <w:ind w:firstLine="420"/>
    </w:pPr>
  </w:style>
  <w:style w:type="paragraph" w:styleId="13">
    <w:name w:val="toc 7"/>
    <w:basedOn w:val="1"/>
    <w:next w:val="1"/>
    <w:qFormat/>
    <w:uiPriority w:val="0"/>
    <w:pPr>
      <w:ind w:left="2520" w:leftChars="1200"/>
    </w:pPr>
  </w:style>
  <w:style w:type="paragraph" w:styleId="14">
    <w:name w:val="Document Map"/>
    <w:basedOn w:val="1"/>
    <w:link w:val="58"/>
    <w:semiHidden/>
    <w:qFormat/>
    <w:uiPriority w:val="0"/>
    <w:pPr>
      <w:shd w:val="clear" w:color="auto" w:fill="000080"/>
    </w:pPr>
    <w:rPr>
      <w:kern w:val="2"/>
      <w:sz w:val="21"/>
    </w:rPr>
  </w:style>
  <w:style w:type="paragraph" w:styleId="15">
    <w:name w:val="annotation text"/>
    <w:basedOn w:val="1"/>
    <w:link w:val="64"/>
    <w:semiHidden/>
    <w:qFormat/>
    <w:uiPriority w:val="0"/>
    <w:pPr>
      <w:jc w:val="left"/>
    </w:pPr>
    <w:rPr>
      <w:kern w:val="2"/>
      <w:sz w:val="21"/>
      <w:szCs w:val="24"/>
    </w:rPr>
  </w:style>
  <w:style w:type="paragraph" w:styleId="16">
    <w:name w:val="Body Text 3"/>
    <w:basedOn w:val="1"/>
    <w:link w:val="91"/>
    <w:qFormat/>
    <w:uiPriority w:val="0"/>
    <w:pPr>
      <w:spacing w:line="500" w:lineRule="exact"/>
    </w:pPr>
    <w:rPr>
      <w:b/>
      <w:bCs/>
      <w:kern w:val="2"/>
      <w:szCs w:val="24"/>
    </w:rPr>
  </w:style>
  <w:style w:type="paragraph" w:styleId="17">
    <w:name w:val="Body Text"/>
    <w:basedOn w:val="1"/>
    <w:next w:val="1"/>
    <w:link w:val="63"/>
    <w:qFormat/>
    <w:uiPriority w:val="0"/>
    <w:pPr>
      <w:spacing w:after="120"/>
    </w:pPr>
    <w:rPr>
      <w:kern w:val="2"/>
      <w:sz w:val="21"/>
    </w:rPr>
  </w:style>
  <w:style w:type="paragraph" w:styleId="18">
    <w:name w:val="Body Text Indent"/>
    <w:basedOn w:val="1"/>
    <w:link w:val="77"/>
    <w:qFormat/>
    <w:uiPriority w:val="0"/>
    <w:pPr>
      <w:ind w:firstLine="630"/>
    </w:pPr>
    <w:rPr>
      <w:kern w:val="2"/>
      <w:sz w:val="32"/>
    </w:rPr>
  </w:style>
  <w:style w:type="paragraph" w:styleId="19">
    <w:name w:val="Block Text"/>
    <w:basedOn w:val="1"/>
    <w:qFormat/>
    <w:uiPriority w:val="0"/>
    <w:pPr>
      <w:spacing w:line="400" w:lineRule="exact"/>
      <w:ind w:left="-359" w:leftChars="-171" w:right="-687" w:rightChars="-327" w:firstLine="720"/>
    </w:pPr>
    <w:rPr>
      <w:rFonts w:ascii="宋体" w:hAnsi="宋体"/>
      <w:sz w:val="28"/>
    </w:rPr>
  </w:style>
  <w:style w:type="paragraph" w:styleId="20">
    <w:name w:val="toc 5"/>
    <w:basedOn w:val="1"/>
    <w:next w:val="1"/>
    <w:qFormat/>
    <w:uiPriority w:val="0"/>
    <w:pPr>
      <w:ind w:left="1680" w:leftChars="800"/>
    </w:pPr>
  </w:style>
  <w:style w:type="paragraph" w:styleId="21">
    <w:name w:val="toc 3"/>
    <w:basedOn w:val="1"/>
    <w:next w:val="1"/>
    <w:qFormat/>
    <w:uiPriority w:val="39"/>
    <w:pPr>
      <w:ind w:left="840" w:leftChars="400"/>
    </w:pPr>
  </w:style>
  <w:style w:type="paragraph" w:styleId="22">
    <w:name w:val="Plain Text"/>
    <w:basedOn w:val="1"/>
    <w:link w:val="74"/>
    <w:qFormat/>
    <w:uiPriority w:val="0"/>
    <w:rPr>
      <w:rFonts w:ascii="宋体" w:hAnsi="Courier New" w:cs="Courier New"/>
      <w:kern w:val="2"/>
      <w:sz w:val="21"/>
      <w:szCs w:val="21"/>
    </w:rPr>
  </w:style>
  <w:style w:type="paragraph" w:styleId="23">
    <w:name w:val="toc 8"/>
    <w:basedOn w:val="1"/>
    <w:next w:val="1"/>
    <w:qFormat/>
    <w:uiPriority w:val="0"/>
    <w:pPr>
      <w:ind w:left="2940" w:leftChars="1400"/>
    </w:pPr>
  </w:style>
  <w:style w:type="paragraph" w:styleId="24">
    <w:name w:val="Date"/>
    <w:basedOn w:val="1"/>
    <w:next w:val="1"/>
    <w:link w:val="53"/>
    <w:qFormat/>
    <w:uiPriority w:val="0"/>
    <w:rPr>
      <w:rFonts w:eastAsia="黑体"/>
      <w:kern w:val="2"/>
      <w:sz w:val="36"/>
    </w:rPr>
  </w:style>
  <w:style w:type="paragraph" w:styleId="25">
    <w:name w:val="Body Text Indent 2"/>
    <w:basedOn w:val="1"/>
    <w:link w:val="56"/>
    <w:qFormat/>
    <w:uiPriority w:val="0"/>
    <w:pPr>
      <w:ind w:firstLine="630"/>
    </w:pPr>
    <w:rPr>
      <w:kern w:val="2"/>
      <w:sz w:val="32"/>
    </w:rPr>
  </w:style>
  <w:style w:type="paragraph" w:styleId="26">
    <w:name w:val="Balloon Text"/>
    <w:basedOn w:val="1"/>
    <w:semiHidden/>
    <w:qFormat/>
    <w:uiPriority w:val="0"/>
    <w:rPr>
      <w:sz w:val="18"/>
      <w:szCs w:val="18"/>
    </w:rPr>
  </w:style>
  <w:style w:type="paragraph" w:styleId="27">
    <w:name w:val="footer"/>
    <w:basedOn w:val="1"/>
    <w:link w:val="60"/>
    <w:qFormat/>
    <w:uiPriority w:val="0"/>
    <w:pPr>
      <w:tabs>
        <w:tab w:val="center" w:pos="4153"/>
        <w:tab w:val="right" w:pos="8306"/>
      </w:tabs>
      <w:snapToGrid w:val="0"/>
      <w:jc w:val="left"/>
    </w:pPr>
    <w:rPr>
      <w:kern w:val="2"/>
      <w:sz w:val="18"/>
    </w:rPr>
  </w:style>
  <w:style w:type="paragraph" w:styleId="28">
    <w:name w:val="header"/>
    <w:basedOn w:val="1"/>
    <w:link w:val="69"/>
    <w:qFormat/>
    <w:uiPriority w:val="99"/>
    <w:pPr>
      <w:pBdr>
        <w:bottom w:val="single" w:color="auto" w:sz="6" w:space="1"/>
      </w:pBdr>
      <w:tabs>
        <w:tab w:val="center" w:pos="4153"/>
        <w:tab w:val="right" w:pos="8306"/>
      </w:tabs>
      <w:snapToGrid w:val="0"/>
      <w:jc w:val="center"/>
    </w:pPr>
    <w:rPr>
      <w:kern w:val="2"/>
      <w:sz w:val="18"/>
    </w:rPr>
  </w:style>
  <w:style w:type="paragraph" w:styleId="29">
    <w:name w:val="toc 1"/>
    <w:basedOn w:val="1"/>
    <w:next w:val="1"/>
    <w:qFormat/>
    <w:uiPriority w:val="39"/>
  </w:style>
  <w:style w:type="paragraph" w:styleId="30">
    <w:name w:val="toc 4"/>
    <w:basedOn w:val="1"/>
    <w:next w:val="1"/>
    <w:qFormat/>
    <w:uiPriority w:val="0"/>
    <w:pPr>
      <w:ind w:left="1260" w:leftChars="600"/>
    </w:pPr>
  </w:style>
  <w:style w:type="paragraph" w:styleId="31">
    <w:name w:val="Subtitle"/>
    <w:basedOn w:val="1"/>
    <w:next w:val="1"/>
    <w:qFormat/>
    <w:uiPriority w:val="0"/>
    <w:pPr>
      <w:widowControl/>
      <w:spacing w:after="600" w:line="276" w:lineRule="auto"/>
      <w:jc w:val="left"/>
    </w:pPr>
    <w:rPr>
      <w:rFonts w:ascii="Cambria" w:hAnsi="Cambria"/>
      <w:i/>
      <w:iCs/>
      <w:spacing w:val="13"/>
      <w:lang w:eastAsia="en-US" w:bidi="en-US"/>
    </w:rPr>
  </w:style>
  <w:style w:type="paragraph" w:styleId="32">
    <w:name w:val="toc 6"/>
    <w:basedOn w:val="1"/>
    <w:next w:val="1"/>
    <w:qFormat/>
    <w:uiPriority w:val="0"/>
    <w:pPr>
      <w:ind w:left="2100" w:leftChars="1000"/>
    </w:pPr>
  </w:style>
  <w:style w:type="paragraph" w:styleId="33">
    <w:name w:val="Body Text Indent 3"/>
    <w:basedOn w:val="1"/>
    <w:link w:val="104"/>
    <w:qFormat/>
    <w:uiPriority w:val="0"/>
    <w:pPr>
      <w:adjustRightInd w:val="0"/>
      <w:snapToGrid w:val="0"/>
      <w:ind w:firstLine="600"/>
    </w:pPr>
    <w:rPr>
      <w:rFonts w:ascii="黑体" w:eastAsia="黑体"/>
      <w:kern w:val="2"/>
      <w:sz w:val="30"/>
      <w:szCs w:val="28"/>
    </w:rPr>
  </w:style>
  <w:style w:type="paragraph" w:styleId="34">
    <w:name w:val="toc 2"/>
    <w:basedOn w:val="1"/>
    <w:next w:val="1"/>
    <w:qFormat/>
    <w:uiPriority w:val="39"/>
    <w:pPr>
      <w:ind w:left="420" w:leftChars="200"/>
    </w:pPr>
  </w:style>
  <w:style w:type="paragraph" w:styleId="35">
    <w:name w:val="toc 9"/>
    <w:basedOn w:val="1"/>
    <w:next w:val="1"/>
    <w:qFormat/>
    <w:uiPriority w:val="0"/>
    <w:pPr>
      <w:ind w:left="3360" w:leftChars="1600"/>
    </w:pPr>
  </w:style>
  <w:style w:type="paragraph" w:styleId="36">
    <w:name w:val="Body Text 2"/>
    <w:basedOn w:val="1"/>
    <w:link w:val="84"/>
    <w:qFormat/>
    <w:uiPriority w:val="0"/>
    <w:pPr>
      <w:spacing w:after="120" w:line="480" w:lineRule="auto"/>
    </w:pPr>
    <w:rPr>
      <w:kern w:val="2"/>
      <w:sz w:val="21"/>
      <w:szCs w:val="24"/>
    </w:rPr>
  </w:style>
  <w:style w:type="paragraph" w:styleId="37">
    <w:name w:val="Normal (Web)"/>
    <w:basedOn w:val="1"/>
    <w:qFormat/>
    <w:uiPriority w:val="0"/>
    <w:pPr>
      <w:widowControl/>
      <w:spacing w:before="100" w:beforeAutospacing="1" w:after="100" w:afterAutospacing="1"/>
      <w:jc w:val="left"/>
    </w:pPr>
    <w:rPr>
      <w:rFonts w:ascii="宋体" w:hAnsi="宋体"/>
      <w:sz w:val="18"/>
      <w:szCs w:val="18"/>
    </w:rPr>
  </w:style>
  <w:style w:type="paragraph" w:styleId="38">
    <w:name w:val="index 1"/>
    <w:basedOn w:val="1"/>
    <w:next w:val="1"/>
    <w:qFormat/>
    <w:uiPriority w:val="0"/>
    <w:pPr>
      <w:widowControl/>
      <w:jc w:val="left"/>
    </w:pPr>
  </w:style>
  <w:style w:type="paragraph" w:styleId="39">
    <w:name w:val="Title"/>
    <w:basedOn w:val="1"/>
    <w:qFormat/>
    <w:uiPriority w:val="0"/>
    <w:pPr>
      <w:widowControl/>
      <w:pBdr>
        <w:bottom w:val="single" w:color="auto" w:sz="4" w:space="1"/>
      </w:pBdr>
      <w:spacing w:after="200"/>
      <w:contextualSpacing/>
      <w:jc w:val="left"/>
    </w:pPr>
    <w:rPr>
      <w:rFonts w:ascii="Cambria" w:hAnsi="Cambria"/>
      <w:spacing w:val="5"/>
      <w:sz w:val="52"/>
      <w:szCs w:val="52"/>
      <w:lang w:eastAsia="en-US" w:bidi="en-US"/>
    </w:rPr>
  </w:style>
  <w:style w:type="paragraph" w:styleId="40">
    <w:name w:val="annotation subject"/>
    <w:basedOn w:val="15"/>
    <w:next w:val="15"/>
    <w:link w:val="96"/>
    <w:semiHidden/>
    <w:qFormat/>
    <w:uiPriority w:val="0"/>
    <w:rPr>
      <w:b/>
      <w:bCs/>
    </w:rPr>
  </w:style>
  <w:style w:type="paragraph" w:styleId="41">
    <w:name w:val="Body Text First Indent"/>
    <w:basedOn w:val="1"/>
    <w:link w:val="62"/>
    <w:qFormat/>
    <w:uiPriority w:val="0"/>
    <w:pPr>
      <w:ind w:firstLine="420" w:firstLineChars="100"/>
    </w:pPr>
  </w:style>
  <w:style w:type="paragraph" w:styleId="42">
    <w:name w:val="Body Text First Indent 2"/>
    <w:basedOn w:val="18"/>
    <w:qFormat/>
    <w:uiPriority w:val="0"/>
    <w:pPr>
      <w:ind w:firstLine="420"/>
    </w:pPr>
    <w:rPr>
      <w:rFonts w:ascii="Calibri" w:hAnsi="Calibri"/>
    </w:rPr>
  </w:style>
  <w:style w:type="table" w:styleId="44">
    <w:name w:val="Table Grid"/>
    <w:basedOn w:val="4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99"/>
    <w:rPr>
      <w:color w:val="800080"/>
      <w:u w:val="single"/>
    </w:rPr>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rPr>
  </w:style>
  <w:style w:type="paragraph" w:customStyle="1" w:styleId="52">
    <w:name w:val="表格文字"/>
    <w:basedOn w:val="1"/>
    <w:qFormat/>
    <w:uiPriority w:val="0"/>
    <w:pPr>
      <w:adjustRightInd w:val="0"/>
      <w:spacing w:line="420" w:lineRule="atLeast"/>
      <w:jc w:val="left"/>
      <w:textAlignment w:val="baseline"/>
    </w:pPr>
  </w:style>
  <w:style w:type="character" w:customStyle="1" w:styleId="53">
    <w:name w:val="日期 字符"/>
    <w:link w:val="24"/>
    <w:qFormat/>
    <w:uiPriority w:val="0"/>
    <w:rPr>
      <w:rFonts w:eastAsia="黑体"/>
      <w:kern w:val="2"/>
      <w:sz w:val="36"/>
      <w:lang w:val="en-US" w:eastAsia="zh-CN" w:bidi="ar-SA"/>
    </w:rPr>
  </w:style>
  <w:style w:type="character" w:customStyle="1" w:styleId="54">
    <w:name w:val="font31"/>
    <w:qFormat/>
    <w:uiPriority w:val="0"/>
    <w:rPr>
      <w:rFonts w:ascii="Arial" w:hAnsi="Arial" w:cs="Arial"/>
      <w:color w:val="000000"/>
      <w:sz w:val="22"/>
      <w:szCs w:val="22"/>
    </w:rPr>
  </w:style>
  <w:style w:type="character" w:customStyle="1" w:styleId="55">
    <w:name w:val="标题 7 字符"/>
    <w:link w:val="10"/>
    <w:qFormat/>
    <w:uiPriority w:val="0"/>
    <w:rPr>
      <w:b/>
      <w:kern w:val="2"/>
      <w:sz w:val="24"/>
      <w:szCs w:val="24"/>
    </w:rPr>
  </w:style>
  <w:style w:type="character" w:customStyle="1" w:styleId="56">
    <w:name w:val="正文文本缩进 2 字符"/>
    <w:link w:val="25"/>
    <w:qFormat/>
    <w:uiPriority w:val="0"/>
    <w:rPr>
      <w:rFonts w:eastAsia="宋体"/>
      <w:kern w:val="2"/>
      <w:sz w:val="32"/>
      <w:lang w:val="en-US" w:eastAsia="zh-CN" w:bidi="ar-SA"/>
    </w:rPr>
  </w:style>
  <w:style w:type="character" w:customStyle="1" w:styleId="57">
    <w:name w:val="标题 9 字符"/>
    <w:link w:val="12"/>
    <w:qFormat/>
    <w:uiPriority w:val="0"/>
    <w:rPr>
      <w:rFonts w:ascii="Arial" w:hAnsi="Arial" w:eastAsia="黑体"/>
      <w:kern w:val="2"/>
      <w:sz w:val="21"/>
      <w:szCs w:val="24"/>
    </w:rPr>
  </w:style>
  <w:style w:type="character" w:customStyle="1" w:styleId="58">
    <w:name w:val="文档结构图 字符"/>
    <w:link w:val="14"/>
    <w:semiHidden/>
    <w:qFormat/>
    <w:uiPriority w:val="0"/>
    <w:rPr>
      <w:rFonts w:eastAsia="宋体"/>
      <w:kern w:val="2"/>
      <w:sz w:val="21"/>
      <w:lang w:val="en-US" w:eastAsia="zh-CN" w:bidi="ar-SA"/>
    </w:rPr>
  </w:style>
  <w:style w:type="character" w:customStyle="1" w:styleId="59">
    <w:name w:val="标题 6 字符"/>
    <w:link w:val="9"/>
    <w:qFormat/>
    <w:uiPriority w:val="0"/>
    <w:rPr>
      <w:rFonts w:ascii="Arial" w:hAnsi="Arial" w:eastAsia="黑体"/>
      <w:b/>
      <w:kern w:val="2"/>
      <w:sz w:val="24"/>
      <w:szCs w:val="24"/>
    </w:rPr>
  </w:style>
  <w:style w:type="character" w:customStyle="1" w:styleId="60">
    <w:name w:val="页脚 字符"/>
    <w:link w:val="27"/>
    <w:qFormat/>
    <w:uiPriority w:val="0"/>
    <w:rPr>
      <w:rFonts w:eastAsia="宋体"/>
      <w:kern w:val="2"/>
      <w:sz w:val="18"/>
      <w:lang w:val="en-US" w:eastAsia="zh-CN" w:bidi="ar-SA"/>
    </w:rPr>
  </w:style>
  <w:style w:type="character" w:customStyle="1" w:styleId="61">
    <w:name w:val="正文首行缩进两字符 Char"/>
    <w:qFormat/>
    <w:uiPriority w:val="0"/>
    <w:rPr>
      <w:rFonts w:eastAsia="宋体"/>
      <w:kern w:val="2"/>
      <w:sz w:val="21"/>
      <w:szCs w:val="24"/>
      <w:lang w:val="en-US" w:eastAsia="zh-CN" w:bidi="ar-SA"/>
    </w:rPr>
  </w:style>
  <w:style w:type="character" w:customStyle="1" w:styleId="62">
    <w:name w:val="正文文本首行缩进 字符"/>
    <w:basedOn w:val="63"/>
    <w:link w:val="41"/>
    <w:qFormat/>
    <w:uiPriority w:val="0"/>
    <w:rPr>
      <w:rFonts w:eastAsia="宋体"/>
      <w:kern w:val="2"/>
      <w:sz w:val="21"/>
      <w:lang w:val="en-US" w:eastAsia="zh-CN" w:bidi="ar-SA"/>
    </w:rPr>
  </w:style>
  <w:style w:type="character" w:customStyle="1" w:styleId="63">
    <w:name w:val="正文文本 字符"/>
    <w:link w:val="17"/>
    <w:qFormat/>
    <w:uiPriority w:val="0"/>
    <w:rPr>
      <w:rFonts w:eastAsia="宋体"/>
      <w:kern w:val="2"/>
      <w:sz w:val="21"/>
      <w:lang w:val="en-US" w:eastAsia="zh-CN" w:bidi="ar-SA"/>
    </w:rPr>
  </w:style>
  <w:style w:type="character" w:customStyle="1" w:styleId="64">
    <w:name w:val="批注文字 字符"/>
    <w:link w:val="15"/>
    <w:qFormat/>
    <w:uiPriority w:val="0"/>
    <w:rPr>
      <w:rFonts w:eastAsia="宋体"/>
      <w:kern w:val="2"/>
      <w:sz w:val="21"/>
      <w:szCs w:val="24"/>
      <w:lang w:val="en-US" w:eastAsia="zh-CN" w:bidi="ar-SA"/>
    </w:rPr>
  </w:style>
  <w:style w:type="character" w:customStyle="1" w:styleId="65">
    <w:name w:val="Char Char"/>
    <w:qFormat/>
    <w:uiPriority w:val="0"/>
    <w:rPr>
      <w:rFonts w:eastAsia="宋体"/>
      <w:b/>
      <w:kern w:val="2"/>
      <w:sz w:val="32"/>
      <w:lang w:val="en-US" w:eastAsia="zh-CN" w:bidi="ar-SA"/>
    </w:rPr>
  </w:style>
  <w:style w:type="character" w:customStyle="1" w:styleId="66">
    <w:name w:val="UP正文 Char"/>
    <w:link w:val="67"/>
    <w:qFormat/>
    <w:uiPriority w:val="0"/>
    <w:rPr>
      <w:rFonts w:ascii="Tahoma" w:eastAsia="宋体" w:cs="宋体"/>
      <w:kern w:val="2"/>
      <w:sz w:val="21"/>
      <w:lang w:val="en-US" w:eastAsia="zh-CN" w:bidi="ar-SA"/>
    </w:rPr>
  </w:style>
  <w:style w:type="paragraph" w:customStyle="1" w:styleId="67">
    <w:name w:val="UP正文"/>
    <w:basedOn w:val="1"/>
    <w:link w:val="66"/>
    <w:qFormat/>
    <w:uiPriority w:val="0"/>
    <w:pPr>
      <w:ind w:left="420" w:leftChars="200" w:firstLine="420"/>
    </w:pPr>
    <w:rPr>
      <w:rFonts w:ascii="Tahoma" w:cs="宋体"/>
      <w:kern w:val="2"/>
      <w:sz w:val="21"/>
    </w:rPr>
  </w:style>
  <w:style w:type="character" w:customStyle="1" w:styleId="68">
    <w:name w:val="font11"/>
    <w:qFormat/>
    <w:uiPriority w:val="0"/>
    <w:rPr>
      <w:rFonts w:ascii="黑体" w:eastAsia="黑体" w:cs="黑体"/>
      <w:color w:val="000000"/>
      <w:sz w:val="22"/>
      <w:szCs w:val="22"/>
    </w:rPr>
  </w:style>
  <w:style w:type="character" w:customStyle="1" w:styleId="69">
    <w:name w:val="页眉 字符"/>
    <w:link w:val="28"/>
    <w:qFormat/>
    <w:uiPriority w:val="99"/>
    <w:rPr>
      <w:rFonts w:eastAsia="宋体"/>
      <w:kern w:val="2"/>
      <w:sz w:val="18"/>
      <w:lang w:val="en-US" w:eastAsia="zh-CN" w:bidi="ar-SA"/>
    </w:rPr>
  </w:style>
  <w:style w:type="character" w:customStyle="1" w:styleId="70">
    <w:name w:val="引用 Char"/>
    <w:link w:val="71"/>
    <w:qFormat/>
    <w:uiPriority w:val="0"/>
    <w:rPr>
      <w:rFonts w:ascii="Calibri" w:hAnsi="Calibri" w:eastAsia="宋体"/>
      <w:i/>
      <w:iCs/>
      <w:sz w:val="22"/>
      <w:szCs w:val="22"/>
      <w:lang w:val="en-US" w:eastAsia="en-US" w:bidi="en-US"/>
    </w:rPr>
  </w:style>
  <w:style w:type="paragraph" w:customStyle="1" w:styleId="71">
    <w:name w:val="引用1"/>
    <w:basedOn w:val="1"/>
    <w:next w:val="1"/>
    <w:link w:val="70"/>
    <w:qFormat/>
    <w:uiPriority w:val="0"/>
    <w:pPr>
      <w:widowControl/>
      <w:spacing w:before="200" w:line="276" w:lineRule="auto"/>
      <w:ind w:left="360" w:right="360"/>
      <w:jc w:val="left"/>
    </w:pPr>
    <w:rPr>
      <w:rFonts w:ascii="Calibri" w:hAnsi="Calibri"/>
      <w:i/>
      <w:iCs/>
      <w:sz w:val="22"/>
      <w:szCs w:val="22"/>
      <w:lang w:eastAsia="en-US" w:bidi="en-US"/>
    </w:rPr>
  </w:style>
  <w:style w:type="character" w:customStyle="1" w:styleId="72">
    <w:name w:val="textnorm_chn1"/>
    <w:qFormat/>
    <w:uiPriority w:val="0"/>
    <w:rPr>
      <w:rFonts w:hint="default" w:ascii="Arial" w:hAnsi="Arial" w:cs="Arial"/>
      <w:color w:val="21254A"/>
      <w:sz w:val="22"/>
      <w:szCs w:val="22"/>
    </w:rPr>
  </w:style>
  <w:style w:type="character" w:customStyle="1" w:styleId="73">
    <w:name w:val="标题 5 字符"/>
    <w:link w:val="8"/>
    <w:qFormat/>
    <w:uiPriority w:val="0"/>
    <w:rPr>
      <w:b/>
      <w:kern w:val="2"/>
      <w:sz w:val="28"/>
      <w:szCs w:val="24"/>
    </w:rPr>
  </w:style>
  <w:style w:type="character" w:customStyle="1" w:styleId="74">
    <w:name w:val="纯文本 字符"/>
    <w:link w:val="22"/>
    <w:qFormat/>
    <w:uiPriority w:val="0"/>
    <w:rPr>
      <w:rFonts w:ascii="宋体" w:hAnsi="Courier New" w:eastAsia="宋体" w:cs="Courier New"/>
      <w:kern w:val="2"/>
      <w:sz w:val="21"/>
      <w:szCs w:val="21"/>
      <w:lang w:val="en-US" w:eastAsia="zh-CN" w:bidi="ar-SA"/>
    </w:rPr>
  </w:style>
  <w:style w:type="character" w:customStyle="1" w:styleId="75">
    <w:name w:val="明显引用 Char"/>
    <w:link w:val="76"/>
    <w:qFormat/>
    <w:uiPriority w:val="0"/>
    <w:rPr>
      <w:rFonts w:ascii="Calibri" w:hAnsi="Calibri" w:eastAsia="宋体"/>
      <w:b/>
      <w:bCs/>
      <w:i/>
      <w:iCs/>
      <w:sz w:val="22"/>
      <w:szCs w:val="22"/>
      <w:lang w:val="en-US" w:eastAsia="en-US" w:bidi="en-US"/>
    </w:rPr>
  </w:style>
  <w:style w:type="paragraph" w:customStyle="1" w:styleId="76">
    <w:name w:val="明显引用1"/>
    <w:basedOn w:val="1"/>
    <w:next w:val="1"/>
    <w:link w:val="75"/>
    <w:qFormat/>
    <w:uiPriority w:val="0"/>
    <w:pPr>
      <w:widowControl/>
      <w:pBdr>
        <w:bottom w:val="single" w:color="auto" w:sz="4" w:space="1"/>
      </w:pBdr>
      <w:spacing w:before="200" w:after="280" w:line="276" w:lineRule="auto"/>
      <w:ind w:left="1008" w:right="1152"/>
    </w:pPr>
    <w:rPr>
      <w:rFonts w:ascii="Calibri" w:hAnsi="Calibri"/>
      <w:b/>
      <w:bCs/>
      <w:i/>
      <w:iCs/>
      <w:sz w:val="22"/>
      <w:szCs w:val="22"/>
      <w:lang w:eastAsia="en-US" w:bidi="en-US"/>
    </w:rPr>
  </w:style>
  <w:style w:type="character" w:customStyle="1" w:styleId="77">
    <w:name w:val="正文文本缩进 字符"/>
    <w:link w:val="18"/>
    <w:qFormat/>
    <w:uiPriority w:val="0"/>
    <w:rPr>
      <w:rFonts w:eastAsia="宋体"/>
      <w:kern w:val="2"/>
      <w:sz w:val="32"/>
      <w:lang w:val="en-US" w:eastAsia="zh-CN" w:bidi="ar-SA"/>
    </w:rPr>
  </w:style>
  <w:style w:type="character" w:customStyle="1" w:styleId="78">
    <w:name w:val="不明显强调1"/>
    <w:qFormat/>
    <w:uiPriority w:val="0"/>
    <w:rPr>
      <w:i/>
      <w:iCs/>
    </w:rPr>
  </w:style>
  <w:style w:type="character" w:customStyle="1" w:styleId="79">
    <w:name w:val="unnamed31"/>
    <w:qFormat/>
    <w:uiPriority w:val="0"/>
    <w:rPr>
      <w:sz w:val="22"/>
      <w:szCs w:val="22"/>
    </w:rPr>
  </w:style>
  <w:style w:type="character" w:customStyle="1" w:styleId="80">
    <w:name w:val="标题 4 字符"/>
    <w:link w:val="7"/>
    <w:qFormat/>
    <w:uiPriority w:val="0"/>
    <w:rPr>
      <w:rFonts w:ascii="Arial" w:hAnsi="Arial" w:eastAsia="黑体"/>
      <w:b/>
      <w:bCs/>
      <w:kern w:val="2"/>
      <w:sz w:val="28"/>
      <w:szCs w:val="28"/>
      <w:lang w:val="en-US" w:eastAsia="zh-CN" w:bidi="ar-SA"/>
    </w:rPr>
  </w:style>
  <w:style w:type="character" w:customStyle="1" w:styleId="81">
    <w:name w:val="书籍标题1"/>
    <w:qFormat/>
    <w:uiPriority w:val="0"/>
    <w:rPr>
      <w:i/>
      <w:iCs/>
      <w:smallCaps/>
      <w:spacing w:val="5"/>
    </w:rPr>
  </w:style>
  <w:style w:type="character" w:customStyle="1" w:styleId="82">
    <w:name w:val="ca-10"/>
    <w:basedOn w:val="45"/>
    <w:qFormat/>
    <w:uiPriority w:val="0"/>
  </w:style>
  <w:style w:type="character" w:customStyle="1" w:styleId="83">
    <w:name w:val="标题 1 字符"/>
    <w:link w:val="2"/>
    <w:qFormat/>
    <w:uiPriority w:val="0"/>
    <w:rPr>
      <w:b/>
      <w:bCs/>
      <w:kern w:val="44"/>
      <w:sz w:val="36"/>
      <w:szCs w:val="44"/>
    </w:rPr>
  </w:style>
  <w:style w:type="character" w:customStyle="1" w:styleId="84">
    <w:name w:val="正文文本 2 字符"/>
    <w:link w:val="36"/>
    <w:qFormat/>
    <w:uiPriority w:val="0"/>
    <w:rPr>
      <w:rFonts w:eastAsia="宋体"/>
      <w:kern w:val="2"/>
      <w:sz w:val="21"/>
      <w:szCs w:val="24"/>
      <w:lang w:val="en-US" w:eastAsia="zh-CN" w:bidi="ar-SA"/>
    </w:rPr>
  </w:style>
  <w:style w:type="character" w:customStyle="1" w:styleId="85">
    <w:name w:val="标题 2 字符"/>
    <w:link w:val="3"/>
    <w:qFormat/>
    <w:uiPriority w:val="0"/>
    <w:rPr>
      <w:b/>
      <w:bCs/>
      <w:kern w:val="2"/>
      <w:sz w:val="30"/>
      <w:szCs w:val="30"/>
    </w:rPr>
  </w:style>
  <w:style w:type="character" w:customStyle="1" w:styleId="86">
    <w:name w:val="font01"/>
    <w:qFormat/>
    <w:uiPriority w:val="0"/>
    <w:rPr>
      <w:rFonts w:hint="eastAsia" w:ascii="宋体" w:hAnsi="宋体" w:eastAsia="宋体" w:cs="宋体"/>
      <w:color w:val="000000"/>
      <w:sz w:val="24"/>
      <w:szCs w:val="24"/>
    </w:rPr>
  </w:style>
  <w:style w:type="character" w:customStyle="1" w:styleId="87">
    <w:name w:val="apple-style-span"/>
    <w:basedOn w:val="45"/>
    <w:qFormat/>
    <w:uiPriority w:val="0"/>
  </w:style>
  <w:style w:type="character" w:customStyle="1" w:styleId="88">
    <w:name w:val="h Char"/>
    <w:qFormat/>
    <w:uiPriority w:val="0"/>
    <w:rPr>
      <w:kern w:val="2"/>
      <w:sz w:val="18"/>
    </w:rPr>
  </w:style>
  <w:style w:type="character" w:customStyle="1" w:styleId="89">
    <w:name w:val="标题 3 Char Char Char"/>
    <w:qFormat/>
    <w:uiPriority w:val="0"/>
    <w:rPr>
      <w:rFonts w:eastAsia="宋体"/>
      <w:b/>
      <w:kern w:val="2"/>
      <w:sz w:val="32"/>
      <w:lang w:val="en-US" w:eastAsia="zh-CN" w:bidi="ar-SA"/>
    </w:rPr>
  </w:style>
  <w:style w:type="character" w:customStyle="1" w:styleId="90">
    <w:name w:val="font21"/>
    <w:qFormat/>
    <w:uiPriority w:val="0"/>
    <w:rPr>
      <w:rFonts w:hint="default" w:ascii="Times New Roman" w:hAnsi="Times New Roman" w:cs="Times New Roman"/>
      <w:color w:val="000000"/>
      <w:sz w:val="22"/>
      <w:szCs w:val="22"/>
    </w:rPr>
  </w:style>
  <w:style w:type="character" w:customStyle="1" w:styleId="91">
    <w:name w:val="正文文本 3 字符"/>
    <w:link w:val="16"/>
    <w:qFormat/>
    <w:uiPriority w:val="0"/>
    <w:rPr>
      <w:rFonts w:eastAsia="宋体"/>
      <w:b/>
      <w:bCs/>
      <w:kern w:val="2"/>
      <w:sz w:val="24"/>
      <w:szCs w:val="24"/>
      <w:lang w:val="en-US" w:eastAsia="zh-CN" w:bidi="ar-SA"/>
    </w:rPr>
  </w:style>
  <w:style w:type="character" w:customStyle="1" w:styleId="92">
    <w:name w:val="Heading 2 Hidden Char"/>
    <w:qFormat/>
    <w:uiPriority w:val="0"/>
    <w:rPr>
      <w:rFonts w:ascii="Arial" w:hAnsi="Arial" w:eastAsia="黑体"/>
      <w:b/>
      <w:kern w:val="2"/>
      <w:sz w:val="28"/>
    </w:rPr>
  </w:style>
  <w:style w:type="character" w:customStyle="1" w:styleId="93">
    <w:name w:val="不明显参考1"/>
    <w:qFormat/>
    <w:uiPriority w:val="0"/>
    <w:rPr>
      <w:smallCaps/>
    </w:rPr>
  </w:style>
  <w:style w:type="character" w:customStyle="1" w:styleId="94">
    <w:name w:val="fo Char"/>
    <w:qFormat/>
    <w:uiPriority w:val="0"/>
    <w:rPr>
      <w:kern w:val="2"/>
      <w:sz w:val="18"/>
    </w:rPr>
  </w:style>
  <w:style w:type="character" w:customStyle="1" w:styleId="95">
    <w:name w:val="font51"/>
    <w:qFormat/>
    <w:uiPriority w:val="0"/>
    <w:rPr>
      <w:rFonts w:hint="eastAsia" w:ascii="宋体" w:hAnsi="宋体" w:eastAsia="宋体" w:cs="宋体"/>
      <w:color w:val="000000"/>
      <w:sz w:val="22"/>
      <w:szCs w:val="22"/>
    </w:rPr>
  </w:style>
  <w:style w:type="character" w:customStyle="1" w:styleId="96">
    <w:name w:val="批注主题 字符"/>
    <w:link w:val="40"/>
    <w:qFormat/>
    <w:uiPriority w:val="0"/>
    <w:rPr>
      <w:rFonts w:eastAsia="宋体"/>
      <w:b/>
      <w:bCs/>
      <w:kern w:val="2"/>
      <w:sz w:val="21"/>
      <w:szCs w:val="24"/>
      <w:lang w:val="en-US" w:eastAsia="zh-CN" w:bidi="ar-SA"/>
    </w:rPr>
  </w:style>
  <w:style w:type="character" w:customStyle="1" w:styleId="97">
    <w:name w:val="标题 8 字符"/>
    <w:link w:val="11"/>
    <w:qFormat/>
    <w:uiPriority w:val="0"/>
    <w:rPr>
      <w:rFonts w:ascii="Arial" w:hAnsi="Arial" w:eastAsia="黑体"/>
      <w:kern w:val="2"/>
      <w:sz w:val="24"/>
      <w:szCs w:val="24"/>
    </w:rPr>
  </w:style>
  <w:style w:type="character" w:customStyle="1" w:styleId="98">
    <w:name w:val="明显参考1"/>
    <w:qFormat/>
    <w:uiPriority w:val="0"/>
    <w:rPr>
      <w:smallCaps/>
      <w:spacing w:val="5"/>
      <w:u w:val="single"/>
    </w:rPr>
  </w:style>
  <w:style w:type="character" w:customStyle="1" w:styleId="99">
    <w:name w:val="正文文本 + Batang"/>
    <w:qFormat/>
    <w:uiPriority w:val="0"/>
    <w:rPr>
      <w:rFonts w:ascii="Batang" w:hAnsi="Batang" w:eastAsia="Batang" w:cs="Batang"/>
      <w:color w:val="000000"/>
      <w:spacing w:val="30"/>
      <w:w w:val="100"/>
      <w:position w:val="0"/>
      <w:sz w:val="20"/>
      <w:szCs w:val="20"/>
      <w:u w:val="none"/>
      <w:lang w:val="en-US"/>
    </w:rPr>
  </w:style>
  <w:style w:type="character" w:customStyle="1" w:styleId="100">
    <w:name w:val="无间隔 Char"/>
    <w:link w:val="101"/>
    <w:qFormat/>
    <w:uiPriority w:val="0"/>
    <w:rPr>
      <w:rFonts w:ascii="Calibri" w:hAnsi="Calibri" w:eastAsia="宋体"/>
      <w:sz w:val="22"/>
      <w:szCs w:val="22"/>
      <w:lang w:val="en-US" w:eastAsia="en-US" w:bidi="en-US"/>
    </w:rPr>
  </w:style>
  <w:style w:type="paragraph" w:customStyle="1" w:styleId="101">
    <w:name w:val="无间隔1"/>
    <w:basedOn w:val="1"/>
    <w:link w:val="100"/>
    <w:qFormat/>
    <w:uiPriority w:val="0"/>
    <w:pPr>
      <w:widowControl/>
      <w:jc w:val="left"/>
    </w:pPr>
    <w:rPr>
      <w:rFonts w:ascii="Calibri" w:hAnsi="Calibri"/>
      <w:sz w:val="22"/>
      <w:szCs w:val="22"/>
      <w:lang w:eastAsia="en-US" w:bidi="en-US"/>
    </w:rPr>
  </w:style>
  <w:style w:type="character" w:customStyle="1" w:styleId="102">
    <w:name w:val="标题 3 字符"/>
    <w:link w:val="5"/>
    <w:qFormat/>
    <w:uiPriority w:val="0"/>
    <w:rPr>
      <w:b/>
      <w:kern w:val="2"/>
      <w:sz w:val="28"/>
      <w:szCs w:val="28"/>
    </w:rPr>
  </w:style>
  <w:style w:type="character" w:customStyle="1" w:styleId="103">
    <w:name w:val="明显强调1"/>
    <w:qFormat/>
    <w:uiPriority w:val="0"/>
    <w:rPr>
      <w:b/>
      <w:bCs/>
    </w:rPr>
  </w:style>
  <w:style w:type="character" w:customStyle="1" w:styleId="104">
    <w:name w:val="正文文本缩进 3 字符"/>
    <w:link w:val="33"/>
    <w:qFormat/>
    <w:uiPriority w:val="0"/>
    <w:rPr>
      <w:rFonts w:ascii="黑体" w:eastAsia="黑体"/>
      <w:kern w:val="2"/>
      <w:sz w:val="30"/>
      <w:szCs w:val="28"/>
      <w:lang w:val="en-US" w:eastAsia="zh-CN" w:bidi="ar-SA"/>
    </w:rPr>
  </w:style>
  <w:style w:type="paragraph" w:customStyle="1" w:styleId="10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6">
    <w:name w:val="Char1"/>
    <w:basedOn w:val="1"/>
    <w:qFormat/>
    <w:uiPriority w:val="0"/>
    <w:rPr>
      <w:rFonts w:ascii="仿宋_GB2312" w:eastAsia="仿宋_GB2312"/>
      <w:b/>
      <w:sz w:val="32"/>
      <w:szCs w:val="32"/>
    </w:rPr>
  </w:style>
  <w:style w:type="paragraph" w:customStyle="1" w:styleId="107">
    <w:name w:val="正文序号 2"/>
    <w:basedOn w:val="1"/>
    <w:qFormat/>
    <w:uiPriority w:val="0"/>
    <w:pPr>
      <w:tabs>
        <w:tab w:val="left" w:pos="1049"/>
      </w:tabs>
      <w:spacing w:before="60"/>
      <w:ind w:left="1049" w:hanging="420"/>
    </w:pPr>
  </w:style>
  <w:style w:type="paragraph" w:customStyle="1" w:styleId="108">
    <w:name w:val="Char Char Char Char Char Char"/>
    <w:basedOn w:val="1"/>
    <w:qFormat/>
    <w:uiPriority w:val="0"/>
    <w:rPr>
      <w:rFonts w:ascii="Tahoma" w:hAnsi="Tahoma"/>
    </w:rPr>
  </w:style>
  <w:style w:type="paragraph" w:customStyle="1" w:styleId="109">
    <w:name w:val="正文序号 3"/>
    <w:basedOn w:val="1"/>
    <w:qFormat/>
    <w:uiPriority w:val="0"/>
    <w:pPr>
      <w:tabs>
        <w:tab w:val="left" w:pos="1259"/>
      </w:tabs>
      <w:spacing w:before="60"/>
      <w:ind w:left="1259" w:hanging="420"/>
    </w:pPr>
  </w:style>
  <w:style w:type="paragraph" w:customStyle="1" w:styleId="1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sz w:val="20"/>
    </w:rPr>
  </w:style>
  <w:style w:type="paragraph" w:customStyle="1" w:styleId="111">
    <w:name w:val="t14"/>
    <w:basedOn w:val="1"/>
    <w:qFormat/>
    <w:uiPriority w:val="0"/>
    <w:pPr>
      <w:widowControl/>
      <w:spacing w:before="100" w:beforeAutospacing="1" w:after="100" w:afterAutospacing="1" w:line="300" w:lineRule="atLeast"/>
      <w:jc w:val="left"/>
    </w:pPr>
    <w:rPr>
      <w:rFonts w:ascii="宋体" w:hAnsi="宋体" w:cs="宋体"/>
      <w:szCs w:val="21"/>
    </w:rPr>
  </w:style>
  <w:style w:type="paragraph" w:customStyle="1" w:styleId="112">
    <w:name w:val="样式 首行缩进:  2 字符"/>
    <w:basedOn w:val="1"/>
    <w:qFormat/>
    <w:uiPriority w:val="0"/>
    <w:pPr>
      <w:spacing w:line="400" w:lineRule="exact"/>
    </w:pPr>
    <w:rPr>
      <w:rFonts w:cs="宋体"/>
    </w:rPr>
  </w:style>
  <w:style w:type="paragraph" w:customStyle="1" w:styleId="113">
    <w:name w:val="Char Char Char Char Char Char1 Char Char Char Char Char Char Char"/>
    <w:basedOn w:val="1"/>
    <w:qFormat/>
    <w:uiPriority w:val="0"/>
    <w:pPr>
      <w:adjustRightInd w:val="0"/>
    </w:pPr>
  </w:style>
  <w:style w:type="paragraph" w:customStyle="1" w:styleId="114">
    <w:name w:val="plaintext"/>
    <w:basedOn w:val="1"/>
    <w:qFormat/>
    <w:uiPriority w:val="0"/>
    <w:pPr>
      <w:widowControl/>
      <w:spacing w:before="100" w:beforeAutospacing="1" w:after="100" w:afterAutospacing="1"/>
      <w:jc w:val="left"/>
    </w:pPr>
    <w:rPr>
      <w:rFonts w:ascii="宋体" w:hAnsi="宋体"/>
    </w:rPr>
  </w:style>
  <w:style w:type="paragraph" w:customStyle="1" w:styleId="115">
    <w:name w:val="表格"/>
    <w:basedOn w:val="1"/>
    <w:qFormat/>
    <w:uiPriority w:val="0"/>
    <w:pPr>
      <w:spacing w:line="400" w:lineRule="exact"/>
    </w:pPr>
  </w:style>
  <w:style w:type="paragraph" w:customStyle="1" w:styleId="116">
    <w:name w:val="列出段落1"/>
    <w:basedOn w:val="1"/>
    <w:qFormat/>
    <w:uiPriority w:val="0"/>
    <w:pPr>
      <w:ind w:firstLine="420"/>
    </w:pPr>
    <w:rPr>
      <w:rFonts w:ascii="Calibri" w:hAnsi="Calibri"/>
      <w:szCs w:val="22"/>
    </w:rPr>
  </w:style>
  <w:style w:type="paragraph" w:customStyle="1" w:styleId="1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sz w:val="22"/>
      <w:szCs w:val="22"/>
    </w:rPr>
  </w:style>
  <w:style w:type="paragraph" w:customStyle="1" w:styleId="1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119">
    <w:name w:val="Char11"/>
    <w:basedOn w:val="1"/>
    <w:qFormat/>
    <w:uiPriority w:val="0"/>
    <w:rPr>
      <w:szCs w:val="21"/>
    </w:rPr>
  </w:style>
  <w:style w:type="paragraph" w:customStyle="1" w:styleId="120">
    <w:name w:val="段"/>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121">
    <w:name w:val="正文序号 4"/>
    <w:basedOn w:val="1"/>
    <w:qFormat/>
    <w:uiPriority w:val="0"/>
    <w:pPr>
      <w:tabs>
        <w:tab w:val="left" w:pos="1469"/>
      </w:tabs>
      <w:spacing w:before="60"/>
      <w:ind w:left="1469" w:hanging="420"/>
    </w:pPr>
  </w:style>
  <w:style w:type="paragraph" w:customStyle="1" w:styleId="122">
    <w:name w:val="(符号)三标题1.1"/>
    <w:basedOn w:val="1"/>
    <w:qFormat/>
    <w:uiPriority w:val="0"/>
    <w:pPr>
      <w:tabs>
        <w:tab w:val="left" w:pos="360"/>
      </w:tabs>
      <w:spacing w:before="140" w:after="140" w:line="500" w:lineRule="exact"/>
      <w:outlineLvl w:val="2"/>
    </w:pPr>
    <w:rPr>
      <w:rFonts w:ascii="楷体_GB2312" w:hAnsi="宋体" w:eastAsia="楷体_GB2312" w:cs="宋体"/>
      <w:b/>
      <w:bCs/>
      <w:sz w:val="28"/>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sz w:val="20"/>
    </w:rPr>
  </w:style>
  <w:style w:type="paragraph" w:customStyle="1" w:styleId="124">
    <w:name w:val="Char Char1"/>
    <w:basedOn w:val="1"/>
    <w:qFormat/>
    <w:uiPriority w:val="0"/>
    <w:rPr>
      <w:rFonts w:ascii="Tahoma" w:hAnsi="Tahoma"/>
    </w:rPr>
  </w:style>
  <w:style w:type="paragraph" w:customStyle="1" w:styleId="125">
    <w:name w:val="Char2 Char Char Char"/>
    <w:basedOn w:val="1"/>
    <w:qFormat/>
    <w:uiPriority w:val="0"/>
    <w:rPr>
      <w:rFonts w:ascii="仿宋_GB2312" w:eastAsia="仿宋_GB2312"/>
      <w:b/>
      <w:sz w:val="32"/>
      <w:szCs w:val="32"/>
    </w:rPr>
  </w:style>
  <w:style w:type="paragraph" w:customStyle="1" w:styleId="1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sz w:val="20"/>
    </w:rPr>
  </w:style>
  <w:style w:type="paragraph" w:customStyle="1" w:styleId="1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sz w:val="20"/>
    </w:rPr>
  </w:style>
  <w:style w:type="paragraph" w:customStyle="1" w:styleId="12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sz w:val="20"/>
    </w:rPr>
  </w:style>
  <w:style w:type="paragraph" w:customStyle="1" w:styleId="129">
    <w:name w:val="正文缩进1"/>
    <w:basedOn w:val="1"/>
    <w:next w:val="1"/>
    <w:qFormat/>
    <w:uiPriority w:val="0"/>
    <w:pPr>
      <w:widowControl/>
      <w:ind w:firstLine="420"/>
    </w:pPr>
    <w:rPr>
      <w:color w:val="000000"/>
    </w:rPr>
  </w:style>
  <w:style w:type="paragraph" w:customStyle="1" w:styleId="130">
    <w:name w:val="font7"/>
    <w:basedOn w:val="1"/>
    <w:qFormat/>
    <w:uiPriority w:val="0"/>
    <w:pPr>
      <w:widowControl/>
      <w:spacing w:before="100" w:beforeAutospacing="1" w:after="100" w:afterAutospacing="1"/>
      <w:jc w:val="left"/>
    </w:pPr>
    <w:rPr>
      <w:sz w:val="20"/>
    </w:rPr>
  </w:style>
  <w:style w:type="paragraph" w:customStyle="1" w:styleId="131">
    <w:name w:val="Char Char Char Char"/>
    <w:basedOn w:val="1"/>
    <w:qFormat/>
    <w:uiPriority w:val="0"/>
    <w:pPr>
      <w:widowControl/>
      <w:spacing w:before="100" w:beforeAutospacing="1" w:after="100" w:afterAutospacing="1"/>
      <w:jc w:val="left"/>
    </w:pPr>
    <w:rPr>
      <w:rFonts w:ascii="Verdana" w:hAnsi="Verdana"/>
      <w:sz w:val="20"/>
      <w:szCs w:val="21"/>
      <w:lang w:eastAsia="en-US"/>
    </w:rPr>
  </w:style>
  <w:style w:type="paragraph" w:customStyle="1" w:styleId="1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3">
    <w:name w:val="Table Text"/>
    <w:basedOn w:val="1"/>
    <w:qFormat/>
    <w:uiPriority w:val="0"/>
    <w:pPr>
      <w:widowControl/>
      <w:spacing w:before="60" w:after="60"/>
      <w:jc w:val="left"/>
    </w:pPr>
  </w:style>
  <w:style w:type="paragraph" w:customStyle="1" w:styleId="134">
    <w:name w:val="style21"/>
    <w:basedOn w:val="1"/>
    <w:qFormat/>
    <w:uiPriority w:val="0"/>
    <w:pPr>
      <w:widowControl/>
      <w:spacing w:before="100" w:beforeAutospacing="1" w:after="100" w:afterAutospacing="1"/>
      <w:jc w:val="left"/>
    </w:pPr>
    <w:rPr>
      <w:rFonts w:ascii="Arial" w:hAnsi="Arial" w:cs="Arial"/>
      <w:sz w:val="18"/>
      <w:szCs w:val="18"/>
    </w:rPr>
  </w:style>
  <w:style w:type="paragraph" w:customStyle="1" w:styleId="135">
    <w:name w:val="Char Char1 Char Char Char Char"/>
    <w:basedOn w:val="1"/>
    <w:qFormat/>
    <w:uiPriority w:val="0"/>
  </w:style>
  <w:style w:type="paragraph" w:customStyle="1" w:styleId="136">
    <w:name w:val="默认段落字体 Para Char Char Char Char Char Char Char Char Char1 Char Char Char Char"/>
    <w:basedOn w:val="1"/>
    <w:qFormat/>
    <w:uiPriority w:val="0"/>
    <w:rPr>
      <w:rFonts w:ascii="Tahoma" w:hAnsi="Tahoma"/>
    </w:rPr>
  </w:style>
  <w:style w:type="paragraph" w:customStyle="1" w:styleId="137">
    <w:name w:val="正文文本 21"/>
    <w:basedOn w:val="1"/>
    <w:qFormat/>
    <w:uiPriority w:val="0"/>
    <w:pPr>
      <w:adjustRightInd w:val="0"/>
      <w:spacing w:line="300" w:lineRule="auto"/>
      <w:jc w:val="center"/>
      <w:textAlignment w:val="baseline"/>
    </w:pPr>
    <w:rPr>
      <w:rFonts w:ascii="宋体" w:hAnsi="宋体"/>
    </w:rPr>
  </w:style>
  <w:style w:type="paragraph" w:customStyle="1" w:styleId="138">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宋体" w:eastAsia="黑体" w:cs="宋体"/>
      <w:sz w:val="22"/>
      <w:szCs w:val="22"/>
    </w:rPr>
  </w:style>
  <w:style w:type="paragraph" w:customStyle="1" w:styleId="139">
    <w:name w:val="1"/>
    <w:basedOn w:val="1"/>
    <w:next w:val="22"/>
    <w:qFormat/>
    <w:uiPriority w:val="0"/>
    <w:rPr>
      <w:rFonts w:ascii="宋体" w:hAnsi="Courier New"/>
    </w:rPr>
  </w:style>
  <w:style w:type="paragraph" w:customStyle="1" w:styleId="140">
    <w:name w:val="纯文本1"/>
    <w:basedOn w:val="1"/>
    <w:qFormat/>
    <w:uiPriority w:val="0"/>
    <w:pPr>
      <w:adjustRightInd w:val="0"/>
      <w:textAlignment w:val="baseline"/>
    </w:pPr>
    <w:rPr>
      <w:rFonts w:ascii="宋体" w:hAnsi="Courier New"/>
    </w:rPr>
  </w:style>
  <w:style w:type="paragraph" w:customStyle="1" w:styleId="141">
    <w:name w:val="xl75"/>
    <w:basedOn w:val="1"/>
    <w:qFormat/>
    <w:uiPriority w:val="0"/>
    <w:pPr>
      <w:widowControl/>
      <w:spacing w:before="100" w:beforeAutospacing="1" w:after="100" w:afterAutospacing="1"/>
      <w:jc w:val="center"/>
    </w:pPr>
    <w:rPr>
      <w:rFonts w:ascii="宋体" w:hAnsi="宋体" w:cs="宋体"/>
    </w:rPr>
  </w:style>
  <w:style w:type="paragraph" w:customStyle="1" w:styleId="142">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143">
    <w:name w:val="Char Char Char Char1"/>
    <w:basedOn w:val="14"/>
    <w:qFormat/>
    <w:uiPriority w:val="0"/>
    <w:pPr>
      <w:adjustRightInd w:val="0"/>
      <w:snapToGrid w:val="0"/>
    </w:pPr>
    <w:rPr>
      <w:rFonts w:ascii="Tahoma" w:hAnsi="Tahoma"/>
      <w:sz w:val="24"/>
      <w:szCs w:val="24"/>
    </w:rPr>
  </w:style>
  <w:style w:type="paragraph" w:customStyle="1" w:styleId="1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145">
    <w:name w:val="正文首行缩进两字符"/>
    <w:basedOn w:val="1"/>
    <w:qFormat/>
    <w:uiPriority w:val="0"/>
  </w:style>
  <w:style w:type="paragraph" w:customStyle="1" w:styleId="146">
    <w:name w:val="Char"/>
    <w:basedOn w:val="1"/>
    <w:qFormat/>
    <w:uiPriority w:val="0"/>
    <w:pPr>
      <w:widowControl/>
      <w:spacing w:before="100" w:beforeAutospacing="1" w:after="100" w:afterAutospacing="1"/>
      <w:jc w:val="left"/>
    </w:pPr>
    <w:rPr>
      <w:rFonts w:ascii="Verdana" w:hAnsi="Verdana"/>
      <w:sz w:val="20"/>
      <w:szCs w:val="21"/>
      <w:lang w:eastAsia="en-US"/>
    </w:rPr>
  </w:style>
  <w:style w:type="paragraph" w:customStyle="1" w:styleId="147">
    <w:name w:val="Char2"/>
    <w:basedOn w:val="1"/>
    <w:qFormat/>
    <w:uiPriority w:val="0"/>
    <w:pPr>
      <w:tabs>
        <w:tab w:val="left" w:pos="432"/>
      </w:tabs>
      <w:ind w:left="432" w:hanging="432"/>
    </w:pPr>
    <w:rPr>
      <w:rFonts w:ascii="Tahoma" w:hAnsi="Tahoma"/>
    </w:rPr>
  </w:style>
  <w:style w:type="paragraph" w:customStyle="1" w:styleId="14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149">
    <w:name w:val="font8"/>
    <w:basedOn w:val="1"/>
    <w:qFormat/>
    <w:uiPriority w:val="0"/>
    <w:pPr>
      <w:widowControl/>
      <w:spacing w:before="100" w:beforeAutospacing="1" w:after="100" w:afterAutospacing="1"/>
      <w:jc w:val="left"/>
    </w:pPr>
    <w:rPr>
      <w:b/>
      <w:bCs/>
      <w:sz w:val="20"/>
    </w:rPr>
  </w:style>
  <w:style w:type="paragraph" w:customStyle="1" w:styleId="150">
    <w:name w:val="11"/>
    <w:basedOn w:val="1"/>
    <w:qFormat/>
    <w:uiPriority w:val="0"/>
    <w:pPr>
      <w:widowControl/>
      <w:spacing w:before="100" w:beforeAutospacing="1" w:after="100" w:afterAutospacing="1"/>
      <w:jc w:val="left"/>
    </w:pPr>
    <w:rPr>
      <w:rFonts w:ascii="Arial Unicode MS" w:hAnsi="Arial Unicode MS" w:eastAsia="Arial Unicode MS" w:cs="Arial Unicode MS"/>
    </w:rPr>
  </w:style>
  <w:style w:type="paragraph" w:customStyle="1" w:styleId="151">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152">
    <w:name w:val="font6"/>
    <w:basedOn w:val="1"/>
    <w:qFormat/>
    <w:uiPriority w:val="0"/>
    <w:pPr>
      <w:widowControl/>
      <w:spacing w:before="100" w:beforeAutospacing="1" w:after="100" w:afterAutospacing="1"/>
      <w:jc w:val="left"/>
    </w:pPr>
    <w:rPr>
      <w:rFonts w:ascii="宋体" w:hAnsi="宋体" w:cs="宋体"/>
      <w:sz w:val="20"/>
    </w:rPr>
  </w:style>
  <w:style w:type="paragraph" w:customStyle="1" w:styleId="153">
    <w:name w:val="table head"/>
    <w:basedOn w:val="1"/>
    <w:qFormat/>
    <w:uiPriority w:val="0"/>
    <w:pPr>
      <w:keepNext/>
      <w:keepLines/>
      <w:adjustRightInd w:val="0"/>
      <w:spacing w:line="312" w:lineRule="atLeast"/>
      <w:jc w:val="center"/>
      <w:textAlignment w:val="baseline"/>
    </w:pPr>
    <w:rPr>
      <w:b/>
    </w:rPr>
  </w:style>
  <w:style w:type="paragraph" w:customStyle="1" w:styleId="154">
    <w:name w:val="正文序号 1"/>
    <w:basedOn w:val="1"/>
    <w:qFormat/>
    <w:uiPriority w:val="0"/>
    <w:pPr>
      <w:tabs>
        <w:tab w:val="left" w:pos="839"/>
      </w:tabs>
      <w:spacing w:before="60"/>
      <w:ind w:left="839" w:hanging="419"/>
    </w:pPr>
  </w:style>
  <w:style w:type="paragraph" w:customStyle="1" w:styleId="1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sz w:val="22"/>
      <w:szCs w:val="22"/>
    </w:rPr>
  </w:style>
  <w:style w:type="paragraph" w:customStyle="1" w:styleId="156">
    <w:name w:val="表"/>
    <w:basedOn w:val="1"/>
    <w:qFormat/>
    <w:uiPriority w:val="0"/>
    <w:pPr>
      <w:adjustRightInd w:val="0"/>
      <w:spacing w:line="360" w:lineRule="atLeast"/>
      <w:jc w:val="left"/>
      <w:textAlignment w:val="baseline"/>
    </w:pPr>
    <w:rPr>
      <w:rFonts w:ascii="Calibri" w:hAnsi="Calibri" w:eastAsia="微软雅黑"/>
    </w:rPr>
  </w:style>
  <w:style w:type="paragraph" w:customStyle="1" w:styleId="157">
    <w:name w:val="Char Char Char Char Char Char1 Char"/>
    <w:basedOn w:val="14"/>
    <w:qFormat/>
    <w:uiPriority w:val="0"/>
    <w:rPr>
      <w:rFonts w:ascii="Tahoma" w:hAnsi="Tahoma"/>
      <w:sz w:val="24"/>
      <w:szCs w:val="24"/>
    </w:rPr>
  </w:style>
  <w:style w:type="paragraph" w:customStyle="1" w:styleId="1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sz w:val="20"/>
    </w:rPr>
  </w:style>
  <w:style w:type="paragraph" w:customStyle="1" w:styleId="159">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62">
    <w:name w:val="列出段落2"/>
    <w:basedOn w:val="1"/>
    <w:qFormat/>
    <w:uiPriority w:val="0"/>
    <w:pPr>
      <w:ind w:firstLine="420"/>
    </w:pPr>
    <w:rPr>
      <w:rFonts w:ascii="Calibri" w:hAnsi="Calibri"/>
      <w:szCs w:val="22"/>
    </w:rPr>
  </w:style>
  <w:style w:type="paragraph" w:customStyle="1" w:styleId="163">
    <w:name w:val="Revision"/>
    <w:hidden/>
    <w:unhideWhenUsed/>
    <w:qFormat/>
    <w:uiPriority w:val="99"/>
    <w:rPr>
      <w:rFonts w:ascii="Times New Roman" w:hAnsi="Times New Roman" w:eastAsia="宋体" w:cs="Times New Roman"/>
      <w:sz w:val="24"/>
      <w:lang w:val="en-US" w:eastAsia="zh-CN" w:bidi="ar-SA"/>
    </w:rPr>
  </w:style>
  <w:style w:type="paragraph" w:styleId="164">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51</Pages>
  <Words>22716</Words>
  <Characters>24276</Characters>
  <Lines>253</Lines>
  <Paragraphs>71</Paragraphs>
  <TotalTime>3</TotalTime>
  <ScaleCrop>false</ScaleCrop>
  <LinksUpToDate>false</LinksUpToDate>
  <CharactersWithSpaces>31540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2023-11-16T11:16:00Z</dcterms:created>
  <dc:creator>USER</dc:creator>
  <cp:lastModifiedBy>崔海伦</cp:lastModifiedBy>
  <cp:lastPrinted>2022-03-10T15:14:00Z</cp:lastPrinted>
  <dcterms:modified xsi:type="dcterms:W3CDTF">2024-08-19T00:44:10Z</dcterms:modified>
  <dc:title>省财政厅关于印发四川省政府采购通用货物和服务招标文件范本的通知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74F54255AC3B41318EBB98BF983792E0_13</vt:lpwstr>
  </property>
</Properties>
</file>